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rPr/>
      </w:pPr>
      <w:r>
        <w:rPr/>
      </w:r>
    </w:p>
    <w:p>
      <w:pPr>
        <w:pStyle w:val="Normal"/>
        <w:rPr/>
      </w:pPr>
      <w:r>
        <w:rPr/>
      </w:r>
    </w:p>
    <w:p>
      <w:pPr>
        <w:pStyle w:val="Heading2"/>
        <w:rPr/>
      </w:pPr>
      <w:r>
        <w:rPr/>
        <w:t>Course Information</w:t>
      </w:r>
    </w:p>
    <w:p>
      <w:pPr>
        <w:pStyle w:val="Normal"/>
        <w:keepNext w:val="true"/>
        <w:tabs>
          <w:tab w:val="clear" w:pos="720"/>
          <w:tab w:val="left" w:pos="2160" w:leader="none"/>
        </w:tabs>
        <w:rPr/>
      </w:pPr>
      <w:r>
        <w:rPr/>
      </w:r>
    </w:p>
    <w:p>
      <w:pPr>
        <w:pStyle w:val="Normal"/>
        <w:keepNext w:val="true"/>
        <w:tabs>
          <w:tab w:val="clear" w:pos="720"/>
          <w:tab w:val="left" w:pos="2160" w:leader="none"/>
        </w:tabs>
        <w:rPr/>
      </w:pPr>
      <w:r>
        <w:rPr/>
        <w:t>Course Number:</w:t>
        <w:tab/>
      </w:r>
      <w:sdt>
        <w:sdtPr>
          <w:text/>
          <w:alias w:val="Enter course number:"/>
        </w:sdtPr>
        <w:sdtContent>
          <w:r>
            <w:rPr>
              <w:rFonts w:cs="Calibri"/>
              <w:i/>
            </w:rPr>
            <w:t>MATH 6</w:t>
          </w:r>
          <w:r>
            <w:rPr>
              <w:rFonts w:eastAsia="Calibri" w:cs="Calibri"/>
              <w:i/>
              <w:color w:val="auto"/>
              <w:kern w:val="0"/>
              <w:sz w:val="22"/>
              <w:szCs w:val="22"/>
              <w:lang w:val="en-US" w:eastAsia="en-US" w:bidi="ar-SA"/>
            </w:rPr>
            <w:t>62</w:t>
          </w:r>
        </w:sdtContent>
      </w:sdt>
    </w:p>
    <w:p>
      <w:pPr>
        <w:pStyle w:val="Normal"/>
        <w:tabs>
          <w:tab w:val="clear" w:pos="720"/>
          <w:tab w:val="left" w:pos="2160" w:leader="none"/>
        </w:tabs>
        <w:rPr/>
      </w:pPr>
      <w:r>
        <w:rPr/>
        <w:t>Course Title:</w:t>
        <w:tab/>
      </w:r>
      <w:sdt>
        <w:sdtPr>
          <w:text/>
          <w:alias w:val="Enter course title:"/>
        </w:sdtPr>
        <w:sdtContent>
          <w:r>
            <w:rPr>
              <w:rFonts w:eastAsia="Calibri" w:cs="Calibri"/>
              <w:i/>
              <w:color w:val="auto"/>
              <w:kern w:val="0"/>
              <w:sz w:val="22"/>
              <w:szCs w:val="22"/>
              <w:lang w:val="en-US" w:eastAsia="en-US" w:bidi="ar-SA"/>
            </w:rPr>
            <w:t>Quantum computing and quantum information theory</w:t>
          </w:r>
        </w:sdtContent>
      </w:sdt>
    </w:p>
    <w:p>
      <w:pPr>
        <w:pStyle w:val="Normal"/>
        <w:tabs>
          <w:tab w:val="clear" w:pos="720"/>
          <w:tab w:val="left" w:pos="2160" w:leader="none"/>
        </w:tabs>
        <w:rPr/>
      </w:pPr>
      <w:r>
        <w:rPr/>
        <w:t>Section:</w:t>
        <w:tab/>
      </w:r>
    </w:p>
    <w:p>
      <w:pPr>
        <w:pStyle w:val="Normal"/>
        <w:tabs>
          <w:tab w:val="clear" w:pos="720"/>
          <w:tab w:val="left" w:pos="2160" w:leader="none"/>
        </w:tabs>
        <w:rPr/>
      </w:pPr>
      <w:r>
        <w:rPr/>
        <w:t xml:space="preserve">Time: </w:t>
        <w:tab/>
      </w:r>
      <w:sdt>
        <w:sdtPr>
          <w:text/>
          <w:alias w:val="Enter meeting times:"/>
        </w:sdtPr>
        <w:sdtContent>
          <w:r>
            <w:rPr>
              <w:rFonts w:cs="Calibri"/>
              <w:i/>
            </w:rPr>
            <w:t>TBA</w:t>
          </w:r>
        </w:sdtContent>
      </w:sdt>
    </w:p>
    <w:p>
      <w:pPr>
        <w:pStyle w:val="Normal"/>
        <w:tabs>
          <w:tab w:val="clear" w:pos="720"/>
          <w:tab w:val="left" w:pos="2160" w:leader="none"/>
        </w:tabs>
        <w:rPr/>
      </w:pPr>
      <w:r>
        <w:rPr/>
        <w:t>Location:</w:t>
        <w:tab/>
      </w:r>
      <w:sdt>
        <w:sdtPr>
          <w:text/>
          <w:alias w:val="Enter location:"/>
        </w:sdtPr>
        <w:sdtContent>
          <w:r>
            <w:rPr>
              <w:rFonts w:cs="Calibri"/>
              <w:i/>
            </w:rPr>
            <w:t>TBA</w:t>
          </w:r>
        </w:sdtContent>
      </w:sdt>
    </w:p>
    <w:p>
      <w:pPr>
        <w:pStyle w:val="Normal"/>
        <w:tabs>
          <w:tab w:val="clear" w:pos="720"/>
          <w:tab w:val="left" w:pos="2160" w:leader="none"/>
        </w:tabs>
        <w:rPr/>
      </w:pPr>
      <w:r>
        <w:rPr/>
        <w:t>Credit Hours:</w:t>
        <w:tab/>
      </w:r>
      <w:sdt>
        <w:sdtPr>
          <w:text/>
          <w:alias w:val="Enter credit hours:"/>
        </w:sdtPr>
        <w:sdtContent>
          <w:r>
            <w:rPr>
              <w:rFonts w:cs="Calibri"/>
              <w:i/>
            </w:rPr>
            <w:t>3</w:t>
          </w:r>
        </w:sdtContent>
      </w:sdt>
    </w:p>
    <w:p>
      <w:pPr>
        <w:pStyle w:val="Normal"/>
        <w:rPr/>
      </w:pPr>
      <w:r>
        <w:rPr/>
      </w:r>
    </w:p>
    <w:p>
      <w:pPr>
        <w:pStyle w:val="Heading3"/>
        <w:rPr/>
      </w:pPr>
      <w:r>
        <w:rPr/>
        <w:t>Instructor Details</w:t>
      </w:r>
    </w:p>
    <w:p>
      <w:pPr>
        <w:pStyle w:val="Normal"/>
        <w:rPr/>
      </w:pPr>
      <w:r>
        <w:rPr/>
      </w:r>
    </w:p>
    <w:p>
      <w:pPr>
        <w:pStyle w:val="Normal"/>
        <w:tabs>
          <w:tab w:val="clear" w:pos="720"/>
          <w:tab w:val="left" w:pos="2160" w:leader="none"/>
        </w:tabs>
        <w:rPr/>
      </w:pPr>
      <w:r>
        <w:rPr/>
        <w:t>Instructor:</w:t>
        <w:tab/>
      </w:r>
      <w:sdt>
        <w:sdtPr>
          <w:text/>
          <w:alias w:val="Enter instructor name:"/>
        </w:sdtPr>
        <w:sdtContent>
          <w:r>
            <w:rPr>
              <w:rFonts w:eastAsia="Trebuchet MS" w:cs="Calibri"/>
              <w:i/>
              <w:color w:val="auto"/>
              <w:kern w:val="0"/>
              <w:sz w:val="22"/>
              <w:szCs w:val="22"/>
              <w:lang w:val="en-US" w:eastAsia="ja-JP" w:bidi="ar-SA"/>
            </w:rPr>
            <w:t>Joseph Landsberg</w:t>
          </w:r>
          <w:r>
            <w:rPr>
              <w:rFonts w:eastAsia="Trebuchet MS" w:cs="Calibri"/>
              <w:i/>
              <w:lang w:eastAsia="ja-JP"/>
            </w:rPr>
            <w:tab/>
            <w:tab/>
          </w:r>
        </w:sdtContent>
      </w:sdt>
    </w:p>
    <w:p>
      <w:pPr>
        <w:pStyle w:val="Normal"/>
        <w:tabs>
          <w:tab w:val="clear" w:pos="720"/>
          <w:tab w:val="left" w:pos="2160" w:leader="none"/>
        </w:tabs>
        <w:rPr/>
      </w:pPr>
      <w:r>
        <w:rPr/>
        <w:t>Office:</w:t>
        <w:tab/>
      </w:r>
      <w:sdt>
        <w:sdtPr>
          <w:text/>
          <w:alias w:val="Enter office location:"/>
        </w:sdtPr>
        <w:sdtContent>
          <w:r>
            <w:rPr>
              <w:rFonts w:cs="Calibri"/>
              <w:i/>
            </w:rPr>
            <w:t xml:space="preserve">Blocker </w:t>
          </w:r>
          <w:r>
            <w:rPr>
              <w:rFonts w:eastAsia="Calibri" w:cs="Calibri"/>
              <w:i/>
              <w:color w:val="auto"/>
              <w:kern w:val="0"/>
              <w:sz w:val="22"/>
              <w:szCs w:val="22"/>
              <w:lang w:val="en-US" w:eastAsia="en-US" w:bidi="ar-SA"/>
            </w:rPr>
            <w:t>601H</w:t>
          </w:r>
        </w:sdtContent>
      </w:sdt>
    </w:p>
    <w:p>
      <w:pPr>
        <w:pStyle w:val="Normal"/>
        <w:tabs>
          <w:tab w:val="clear" w:pos="720"/>
          <w:tab w:val="left" w:pos="2160" w:leader="none"/>
        </w:tabs>
        <w:rPr/>
      </w:pPr>
      <w:r>
        <w:rPr/>
        <w:t>Phone:</w:t>
        <w:tab/>
      </w:r>
      <w:sdt>
        <w:sdtPr>
          <w:text/>
          <w:alias w:val="Enter phone:"/>
        </w:sdtPr>
        <w:sdtContent>
          <w:r>
            <w:rPr>
              <w:rFonts w:cs="Calibri"/>
              <w:i/>
            </w:rPr>
            <w:t>None</w:t>
          </w:r>
        </w:sdtContent>
      </w:sdt>
    </w:p>
    <w:p>
      <w:pPr>
        <w:pStyle w:val="Normal"/>
        <w:tabs>
          <w:tab w:val="clear" w:pos="720"/>
          <w:tab w:val="left" w:pos="2160" w:leader="none"/>
        </w:tabs>
        <w:rPr/>
      </w:pPr>
      <w:r>
        <w:rPr/>
        <w:t>E-Mail:</w:t>
        <w:tab/>
      </w:r>
      <w:sdt>
        <w:sdtPr>
          <w:text/>
          <w:alias w:val="Enter email:"/>
        </w:sdtPr>
        <w:sdtContent>
          <w:r>
            <w:rPr>
              <w:rFonts w:eastAsia="Calibri" w:cs="Calibri"/>
              <w:i/>
              <w:color w:val="auto"/>
              <w:kern w:val="0"/>
              <w:sz w:val="22"/>
              <w:szCs w:val="22"/>
              <w:lang w:val="en-US" w:eastAsia="en-US" w:bidi="ar-SA"/>
            </w:rPr>
            <w:t>jml@tamu.edu</w:t>
          </w:r>
        </w:sdtContent>
      </w:sdt>
    </w:p>
    <w:p>
      <w:pPr>
        <w:pStyle w:val="Normal"/>
        <w:tabs>
          <w:tab w:val="clear" w:pos="720"/>
          <w:tab w:val="left" w:pos="2160" w:leader="none"/>
        </w:tabs>
        <w:rPr/>
      </w:pPr>
      <w:r>
        <w:rPr/>
        <w:t>Office Hours:</w:t>
        <w:tab/>
      </w:r>
      <w:r>
        <w:rPr>
          <w:rFonts w:cs="Calibri"/>
          <w:i/>
        </w:rPr>
        <w:t>TBD</w:t>
      </w:r>
    </w:p>
    <w:p>
      <w:pPr>
        <w:pStyle w:val="Normal"/>
        <w:rPr/>
      </w:pPr>
      <w:r>
        <w:rPr/>
      </w:r>
    </w:p>
    <w:p>
      <w:pPr>
        <w:pStyle w:val="Heading3"/>
        <w:rPr/>
      </w:pPr>
      <w:r>
        <w:rPr/>
        <w:t>Course Description</w:t>
      </w:r>
    </w:p>
    <w:p>
      <w:pPr>
        <w:pStyle w:val="Normal"/>
        <w:keepNext w:val="true"/>
        <w:rPr/>
      </w:pPr>
      <w:r>
        <w:rPr/>
      </w:r>
    </w:p>
    <w:p>
      <w:pPr>
        <w:pStyle w:val="Normal"/>
        <w:rPr>
          <w:i/>
          <w:i/>
        </w:rPr>
      </w:pPr>
      <w:r>
        <w:rPr>
          <w:i/>
        </w:rPr>
        <w:t>This course is an introduction t</w:t>
      </w:r>
      <w:r>
        <w:rPr>
          <w:rFonts w:eastAsia="Calibri" w:cs="" w:cstheme="minorBidi" w:eastAsiaTheme="minorHAnsi"/>
          <w:i/>
          <w:color w:val="auto"/>
          <w:kern w:val="0"/>
          <w:sz w:val="22"/>
          <w:szCs w:val="22"/>
          <w:lang w:val="en-US" w:eastAsia="en-US" w:bidi="ar-SA"/>
        </w:rPr>
        <w:t>o quantum computing and quantum information theory</w:t>
      </w:r>
    </w:p>
    <w:p>
      <w:pPr>
        <w:pStyle w:val="Normal"/>
        <w:rPr/>
      </w:pPr>
      <w:r>
        <w:rPr/>
      </w:r>
    </w:p>
    <w:p>
      <w:pPr>
        <w:pStyle w:val="Heading3"/>
        <w:rPr/>
      </w:pPr>
      <w:r>
        <w:rPr/>
        <w:t>Course Prerequisites</w:t>
      </w:r>
    </w:p>
    <w:p>
      <w:pPr>
        <w:pStyle w:val="Normal"/>
        <w:keepNext w:val="true"/>
        <w:rPr/>
      </w:pPr>
      <w:r>
        <w:rPr/>
      </w:r>
    </w:p>
    <w:p>
      <w:pPr>
        <w:pStyle w:val="Normal"/>
        <w:rPr>
          <w:i/>
          <w:i/>
        </w:rPr>
      </w:pPr>
      <w:r>
        <w:rPr>
          <w:rFonts w:eastAsia="Calibri" w:cs="" w:cstheme="minorBidi" w:eastAsiaTheme="minorHAnsi"/>
          <w:i/>
          <w:color w:val="auto"/>
          <w:kern w:val="0"/>
          <w:sz w:val="22"/>
          <w:szCs w:val="22"/>
          <w:lang w:val="en-US" w:eastAsia="en-US" w:bidi="ar-SA"/>
        </w:rPr>
        <w:t>A solid background in linear algebra. A knowledge of basic probability would be helpful but not essential</w:t>
      </w:r>
    </w:p>
    <w:p>
      <w:pPr>
        <w:pStyle w:val="Normal"/>
        <w:rPr/>
      </w:pPr>
      <w:r>
        <w:rPr/>
      </w:r>
    </w:p>
    <w:p>
      <w:pPr>
        <w:pStyle w:val="Heading3"/>
        <w:rPr/>
      </w:pPr>
      <w:r>
        <w:rPr/>
        <w:t>Course Learning Outcomes</w:t>
      </w:r>
    </w:p>
    <w:p>
      <w:pPr>
        <w:pStyle w:val="Normal"/>
        <w:keepNext w:val="true"/>
        <w:rPr/>
      </w:pPr>
      <w:r>
        <w:rPr/>
      </w:r>
    </w:p>
    <w:p>
      <w:pPr>
        <w:pStyle w:val="Normal"/>
        <w:rPr>
          <w:i/>
          <w:i/>
        </w:rPr>
      </w:pPr>
      <w:r>
        <w:rPr>
          <w:rFonts w:cs="Calibri"/>
          <w:i/>
        </w:rPr>
        <w:t xml:space="preserve">The goal of the course is to understand  </w:t>
      </w:r>
      <w:r>
        <w:rPr>
          <w:rFonts w:cs="Calibri"/>
          <w:i/>
        </w:rPr>
        <w:t xml:space="preserve">the principles of quantum computing, the existing algorithms of Grover, Simons, and Shor, and the basics of information theory and their application to the quantum setting. </w:t>
      </w:r>
    </w:p>
    <w:p>
      <w:pPr>
        <w:pStyle w:val="Normal"/>
        <w:rPr/>
      </w:pPr>
      <w:r>
        <w:rPr/>
      </w:r>
    </w:p>
    <w:p>
      <w:pPr>
        <w:pStyle w:val="Heading3"/>
        <w:rPr/>
      </w:pPr>
      <w:r>
        <w:rPr/>
        <w:t>Textbook and/or Resource Materials</w:t>
      </w:r>
    </w:p>
    <w:p>
      <w:pPr>
        <w:pStyle w:val="Normal"/>
        <w:rPr>
          <w:i/>
          <w:i/>
        </w:rPr>
      </w:pPr>
      <w:r>
        <w:rPr>
          <w:i/>
        </w:rPr>
      </w:r>
    </w:p>
    <w:p>
      <w:pPr>
        <w:pStyle w:val="Normal"/>
        <w:rPr>
          <w:rFonts w:ascii="Calibri" w:hAnsi="Calibri" w:eastAsia="Calibri" w:cs="" w:asciiTheme="minorHAnsi" w:cstheme="minorBidi" w:eastAsiaTheme="minorHAnsi" w:hAnsiTheme="minorHAnsi"/>
          <w:i/>
          <w:i/>
          <w:color w:val="auto"/>
          <w:kern w:val="0"/>
          <w:sz w:val="22"/>
          <w:szCs w:val="22"/>
          <w:lang w:val="en-US" w:eastAsia="en-US" w:bidi="ar-SA"/>
        </w:rPr>
      </w:pPr>
      <w:r>
        <w:rPr>
          <w:rFonts w:eastAsia="Calibri" w:cs="" w:cstheme="minorBidi" w:eastAsiaTheme="minorHAnsi"/>
          <w:i/>
          <w:color w:val="auto"/>
          <w:kern w:val="0"/>
          <w:sz w:val="22"/>
          <w:szCs w:val="22"/>
          <w:lang w:val="en-US" w:eastAsia="en-US" w:bidi="ar-SA"/>
        </w:rPr>
        <w:t>Quantum computing and quantum information theory, a mathematical introduction by JM Landsberg. (If published by the fall, the text, otherwise I will hand out a draft copy.)</w:t>
      </w:r>
    </w:p>
    <w:p>
      <w:pPr>
        <w:pStyle w:val="Normal"/>
        <w:rPr>
          <w:i/>
          <w:i/>
        </w:rPr>
      </w:pPr>
      <w:r>
        <w:rPr>
          <w:i/>
        </w:rPr>
      </w:r>
    </w:p>
    <w:p>
      <w:pPr>
        <w:pStyle w:val="Heading3"/>
        <w:rPr/>
      </w:pPr>
      <w:r>
        <w:rPr/>
        <w:t>Grading Policy</w:t>
      </w:r>
    </w:p>
    <w:p>
      <w:pPr>
        <w:pStyle w:val="Normal"/>
        <w:keepNext w:val="true"/>
        <w:rPr/>
      </w:pPr>
      <w:r>
        <w:rPr/>
      </w:r>
    </w:p>
    <w:p>
      <w:pPr>
        <w:pStyle w:val="ListParagraph"/>
        <w:numPr>
          <w:ilvl w:val="0"/>
          <w:numId w:val="1"/>
        </w:numPr>
        <w:rPr>
          <w:i/>
          <w:i/>
        </w:rPr>
      </w:pPr>
      <w:r>
        <w:rPr>
          <w:i/>
        </w:rPr>
        <w:t>Grades will be based upon homework assignments.</w:t>
      </w:r>
    </w:p>
    <w:p>
      <w:pPr>
        <w:pStyle w:val="ListParagraph"/>
        <w:ind w:left="720" w:hanging="0"/>
        <w:rPr>
          <w:i/>
          <w:i/>
        </w:rPr>
      </w:pPr>
      <w:r>
        <w:rPr>
          <w:i/>
        </w:rPr>
      </w:r>
    </w:p>
    <w:p>
      <w:pPr>
        <w:pStyle w:val="Heading3"/>
        <w:rPr/>
      </w:pPr>
      <w:r>
        <w:rPr/>
        <w:t>Late Work Policy</w:t>
      </w:r>
    </w:p>
    <w:p>
      <w:pPr>
        <w:pStyle w:val="Normal"/>
        <w:keepNext w:val="true"/>
        <w:rPr/>
      </w:pPr>
      <w:r>
        <w:rPr/>
      </w:r>
    </w:p>
    <w:p>
      <w:pPr>
        <w:pStyle w:val="ListParagraph"/>
        <w:numPr>
          <w:ilvl w:val="0"/>
          <w:numId w:val="2"/>
        </w:numPr>
        <w:rPr/>
      </w:pPr>
      <w:r>
        <w:rPr>
          <w:i/>
        </w:rPr>
        <w:t xml:space="preserve">Late work is </w:t>
      </w:r>
      <w:r>
        <w:rPr>
          <w:i/>
        </w:rPr>
        <w:t xml:space="preserve">not </w:t>
      </w:r>
      <w:r>
        <w:rPr>
          <w:i/>
        </w:rPr>
        <w:t xml:space="preserve">accepted.  </w:t>
      </w:r>
    </w:p>
    <w:p>
      <w:pPr>
        <w:pStyle w:val="Normal"/>
        <w:rPr/>
      </w:pPr>
      <w:r>
        <w:rPr/>
      </w:r>
    </w:p>
    <w:p>
      <w:pPr>
        <w:pStyle w:val="Heading3"/>
        <w:rPr/>
      </w:pPr>
      <w:r>
        <w:rPr/>
        <w:t>Course Schedule</w:t>
      </w:r>
    </w:p>
    <w:p>
      <w:pPr>
        <w:pStyle w:val="Normal"/>
        <w:keepNext w:val="true"/>
        <w:rPr/>
      </w:pPr>
      <w:r>
        <w:rPr/>
      </w:r>
    </w:p>
    <w:p>
      <w:pPr>
        <w:pStyle w:val="ListParagraph"/>
        <w:numPr>
          <w:ilvl w:val="0"/>
          <w:numId w:val="3"/>
        </w:numPr>
        <w:rPr>
          <w:i/>
          <w:i/>
        </w:rPr>
      </w:pPr>
      <w:r>
        <w:rPr>
          <w:i/>
        </w:rPr>
        <w:t>Classical and probabilistic computing</w:t>
      </w:r>
    </w:p>
    <w:p>
      <w:pPr>
        <w:pStyle w:val="ListParagraph"/>
        <w:numPr>
          <w:ilvl w:val="0"/>
          <w:numId w:val="3"/>
        </w:numPr>
        <w:rPr>
          <w:rFonts w:ascii="Calibri" w:hAnsi="Calibri" w:eastAsia="Calibri" w:cs="" w:asciiTheme="minorHAnsi" w:cstheme="minorBidi" w:eastAsiaTheme="minorHAnsi" w:hAnsiTheme="minorHAnsi"/>
          <w:i/>
          <w:i/>
          <w:color w:val="auto"/>
          <w:kern w:val="0"/>
          <w:sz w:val="22"/>
          <w:szCs w:val="22"/>
          <w:lang w:val="en-US" w:eastAsia="en-US" w:bidi="ar-SA"/>
        </w:rPr>
      </w:pPr>
      <w:r>
        <w:rPr>
          <w:rFonts w:eastAsia="Calibri" w:cs="" w:cstheme="minorBidi" w:eastAsiaTheme="minorHAnsi"/>
          <w:i/>
          <w:color w:val="auto"/>
          <w:kern w:val="0"/>
          <w:sz w:val="22"/>
          <w:szCs w:val="22"/>
          <w:lang w:val="en-US" w:eastAsia="en-US" w:bidi="ar-SA"/>
        </w:rPr>
        <w:t>Quantum mechanics for quantum computing</w:t>
      </w:r>
    </w:p>
    <w:p>
      <w:pPr>
        <w:pStyle w:val="ListParagraph"/>
        <w:numPr>
          <w:ilvl w:val="0"/>
          <w:numId w:val="3"/>
        </w:numPr>
        <w:rPr>
          <w:rFonts w:ascii="Calibri" w:hAnsi="Calibri" w:eastAsia="Calibri" w:cs="" w:asciiTheme="minorHAnsi" w:cstheme="minorBidi" w:eastAsiaTheme="minorHAnsi" w:hAnsiTheme="minorHAnsi"/>
          <w:i/>
          <w:i/>
          <w:color w:val="auto"/>
          <w:kern w:val="0"/>
          <w:sz w:val="22"/>
          <w:szCs w:val="22"/>
          <w:lang w:val="en-US" w:eastAsia="en-US" w:bidi="ar-SA"/>
        </w:rPr>
      </w:pPr>
      <w:r>
        <w:rPr>
          <w:rFonts w:eastAsia="Calibri" w:cs="" w:cstheme="minorBidi" w:eastAsiaTheme="minorHAnsi"/>
          <w:i/>
          <w:color w:val="auto"/>
          <w:kern w:val="0"/>
          <w:sz w:val="22"/>
          <w:szCs w:val="22"/>
          <w:lang w:val="en-US" w:eastAsia="en-US" w:bidi="ar-SA"/>
        </w:rPr>
        <w:t>Classical and quantum algorithms (Miller-Rabin, Simons, Grover, Shor)</w:t>
      </w:r>
    </w:p>
    <w:p>
      <w:pPr>
        <w:pStyle w:val="ListParagraph"/>
        <w:numPr>
          <w:ilvl w:val="0"/>
          <w:numId w:val="3"/>
        </w:numPr>
        <w:rPr>
          <w:rFonts w:ascii="Calibri" w:hAnsi="Calibri" w:eastAsia="Calibri" w:cs="" w:asciiTheme="minorHAnsi" w:cstheme="minorBidi" w:eastAsiaTheme="minorHAnsi" w:hAnsiTheme="minorHAnsi"/>
          <w:i/>
          <w:i/>
          <w:color w:val="auto"/>
          <w:kern w:val="0"/>
          <w:sz w:val="22"/>
          <w:szCs w:val="22"/>
          <w:lang w:val="en-US" w:eastAsia="en-US" w:bidi="ar-SA"/>
        </w:rPr>
      </w:pPr>
      <w:r>
        <w:rPr>
          <w:rFonts w:eastAsia="Calibri" w:cs="" w:cstheme="minorBidi" w:eastAsiaTheme="minorHAnsi"/>
          <w:i/>
          <w:color w:val="auto"/>
          <w:kern w:val="0"/>
          <w:sz w:val="22"/>
          <w:szCs w:val="22"/>
          <w:lang w:val="en-US" w:eastAsia="en-US" w:bidi="ar-SA"/>
        </w:rPr>
        <w:t>Classical (Shannon) information theory</w:t>
      </w:r>
    </w:p>
    <w:p>
      <w:pPr>
        <w:pStyle w:val="ListParagraph"/>
        <w:numPr>
          <w:ilvl w:val="0"/>
          <w:numId w:val="3"/>
        </w:numPr>
        <w:rPr>
          <w:i/>
          <w:i/>
        </w:rPr>
      </w:pPr>
      <w:r>
        <w:rPr>
          <w:i/>
        </w:rPr>
        <w:t>Quantum information theory</w:t>
      </w:r>
    </w:p>
    <w:p>
      <w:pPr>
        <w:pStyle w:val="ListParagraph"/>
        <w:rPr>
          <w:i/>
          <w:i/>
        </w:rPr>
      </w:pPr>
      <w:r>
        <w:rPr>
          <w:i/>
        </w:rPr>
      </w:r>
    </w:p>
    <w:p>
      <w:pPr>
        <w:pStyle w:val="ListParagraph"/>
        <w:rPr>
          <w:i/>
          <w:i/>
        </w:rPr>
      </w:pPr>
      <w:r>
        <w:rPr>
          <w:i/>
        </w:rPr>
        <w:t xml:space="preserve">We will cover these topics at a pace that works best for the class.  </w:t>
      </w:r>
    </w:p>
    <w:p>
      <w:pPr>
        <w:pStyle w:val="ListParagraph"/>
        <w:ind w:left="720" w:hanging="0"/>
        <w:rPr>
          <w:i/>
          <w:i/>
        </w:rPr>
      </w:pPr>
      <w:r>
        <w:rPr>
          <w:i/>
        </w:rPr>
      </w:r>
    </w:p>
    <w:p>
      <w:pPr>
        <w:pStyle w:val="Normal"/>
        <w:rPr>
          <w:i/>
          <w:i/>
        </w:rPr>
      </w:pPr>
      <w:r>
        <w:rPr>
          <w:i/>
        </w:rPr>
      </w:r>
    </w:p>
    <w:p>
      <w:pPr>
        <w:pStyle w:val="Normal"/>
        <w:rPr/>
      </w:pPr>
      <w:r>
        <w:rPr/>
      </w:r>
    </w:p>
    <w:p>
      <w:pPr>
        <w:pStyle w:val="Heading2"/>
        <w:rPr/>
      </w:pPr>
      <w:r>
        <w:rPr/>
        <w:t>University Policies</w:t>
      </w:r>
    </w:p>
    <w:p>
      <w:pPr>
        <w:pStyle w:val="Normal"/>
        <w:keepNext w:val="true"/>
        <w:rPr/>
      </w:pPr>
      <w:r>
        <w:rPr/>
      </w:r>
    </w:p>
    <w:p>
      <w:pPr>
        <w:pStyle w:val="Normal"/>
        <w:rPr>
          <w:i/>
          <w:i/>
        </w:rPr>
      </w:pPr>
      <w:r>
        <w:rPr>
          <w:i/>
        </w:rPr>
        <w:t xml:space="preserve">This section outlines the university level policies that must be included in each course syllabus. The TAMU Faculty Senate established the wording of these policies. </w:t>
      </w:r>
    </w:p>
    <w:p>
      <w:pPr>
        <w:pStyle w:val="Normal"/>
        <w:rPr/>
      </w:pPr>
      <w:r>
        <w:rPr/>
      </w:r>
    </w:p>
    <w:p>
      <w:pPr>
        <w:pStyle w:val="Heading3"/>
        <w:rPr/>
      </w:pPr>
      <w:r>
        <w:rPr/>
        <w:t>Attendance Policy</w:t>
      </w:r>
    </w:p>
    <w:p>
      <w:pPr>
        <w:pStyle w:val="Normal"/>
        <w:keepNext w:val="true"/>
        <w:rPr/>
      </w:pPr>
      <w:r>
        <w:rPr/>
      </w:r>
    </w:p>
    <w:p>
      <w:pPr>
        <w:pStyle w:val="Normal"/>
        <w:rPr/>
      </w:pPr>
      <w:r>
        <w:rPr/>
        <w:t xml:space="preserve">The university views class attendance and participation as an individual student responsibility. Students are expected to attend class and to complete all assignments. </w:t>
      </w:r>
    </w:p>
    <w:p>
      <w:pPr>
        <w:pStyle w:val="Normal"/>
        <w:rPr/>
      </w:pPr>
      <w:r>
        <w:rPr/>
      </w:r>
    </w:p>
    <w:p>
      <w:pPr>
        <w:pStyle w:val="Normal"/>
        <w:rPr/>
      </w:pPr>
      <w:r>
        <w:rPr/>
        <w:t xml:space="preserve">Please refer to </w:t>
      </w:r>
      <w:hyperlink r:id="rId2">
        <w:r>
          <w:rPr>
            <w:rStyle w:val="InternetLink"/>
          </w:rPr>
          <w:t>Student Rule 7</w:t>
        </w:r>
      </w:hyperlink>
      <w:r>
        <w:rPr/>
        <w:t xml:space="preserve"> in its entirety for information about excused absences, including definitions, and related documentation and timelines.</w:t>
      </w:r>
    </w:p>
    <w:p>
      <w:pPr>
        <w:pStyle w:val="Normal"/>
        <w:rPr/>
      </w:pPr>
      <w:r>
        <w:rPr/>
      </w:r>
    </w:p>
    <w:p>
      <w:pPr>
        <w:pStyle w:val="Heading3"/>
        <w:rPr/>
      </w:pPr>
      <w:r>
        <w:rPr/>
        <w:t>Makeup Work Policy</w:t>
      </w:r>
    </w:p>
    <w:p>
      <w:pPr>
        <w:pStyle w:val="Normal"/>
        <w:keepNext w:val="true"/>
        <w:rPr/>
      </w:pPr>
      <w:r>
        <w:rPr/>
      </w:r>
    </w:p>
    <w:p>
      <w:pPr>
        <w:pStyle w:val="Normal"/>
        <w:rPr/>
      </w:pPr>
      <w:r>
        <w:rPr/>
        <w:t xml:space="preserve">Students will be excused from attending class on the day of a graded activity or when attendance contributes to a student’s grade, for the reasons stated in Student Rule 7, or other reason deemed appropriate by the instructor. </w:t>
      </w:r>
    </w:p>
    <w:p>
      <w:pPr>
        <w:pStyle w:val="Normal"/>
        <w:rPr/>
      </w:pPr>
      <w:r>
        <w:rPr/>
      </w:r>
    </w:p>
    <w:p>
      <w:pPr>
        <w:pStyle w:val="Normal"/>
        <w:rPr/>
      </w:pPr>
      <w:r>
        <w:rPr/>
        <w:t xml:space="preserve">Please refer to </w:t>
      </w:r>
      <w:hyperlink r:id="rId3">
        <w:r>
          <w:rPr>
            <w:rStyle w:val="InternetLink"/>
          </w:rPr>
          <w:t>Student Rule 7</w:t>
        </w:r>
      </w:hyperlink>
      <w:r>
        <w:rPr/>
        <w:t xml:space="preserve"> in its entirety for information about makeup work, including definitions, and related documentation and timelines.</w:t>
      </w:r>
    </w:p>
    <w:p>
      <w:pPr>
        <w:pStyle w:val="Normal"/>
        <w:rPr/>
      </w:pPr>
      <w:r>
        <w:rPr/>
      </w:r>
    </w:p>
    <w:p>
      <w:pPr>
        <w:pStyle w:val="Normal"/>
        <w:rPr/>
      </w:pPr>
      <w:r>
        <w:rPr/>
        <w:t>Absences related to Title IX of the Education Amendments of 1972 may necessitate a period of more than 30 days for make-up work, and the timeframe for make-up work should be agreed upon by the student and instructor” (</w:t>
      </w:r>
      <w:hyperlink r:id="rId4">
        <w:r>
          <w:rPr>
            <w:rStyle w:val="InternetLink"/>
          </w:rPr>
          <w:t>Student Rule 7, Section 7.4.1</w:t>
        </w:r>
      </w:hyperlink>
      <w:r>
        <w:rPr/>
        <w:t>).</w:t>
      </w:r>
    </w:p>
    <w:p>
      <w:pPr>
        <w:pStyle w:val="Normal"/>
        <w:rPr/>
      </w:pPr>
      <w:r>
        <w:rPr/>
      </w:r>
    </w:p>
    <w:p>
      <w:pPr>
        <w:pStyle w:val="Normal"/>
        <w:rPr/>
      </w:pPr>
      <w:r>
        <w:rPr/>
        <w:t>“</w:t>
      </w:r>
      <w:r>
        <w:rPr/>
        <w:t>The instructor is under no obligation to provide an opportunity for the student to make up work missed because of an unexcused absence” (</w:t>
      </w:r>
      <w:hyperlink r:id="rId5">
        <w:r>
          <w:rPr>
            <w:rStyle w:val="InternetLink"/>
          </w:rPr>
          <w:t>Student Rule 7, Section 7.4.2</w:t>
        </w:r>
      </w:hyperlink>
      <w:r>
        <w:rPr/>
        <w:t>).</w:t>
      </w:r>
    </w:p>
    <w:p>
      <w:pPr>
        <w:pStyle w:val="Normal"/>
        <w:rPr/>
      </w:pPr>
      <w:r>
        <w:rPr/>
      </w:r>
    </w:p>
    <w:p>
      <w:pPr>
        <w:pStyle w:val="Normal"/>
        <w:rPr/>
      </w:pPr>
      <w:r>
        <w:rPr/>
        <w:t xml:space="preserve">Students who request an excused absence are expected to uphold the Aggie Honor Code and Student Conduct Code. (See </w:t>
      </w:r>
      <w:hyperlink r:id="rId6">
        <w:r>
          <w:rPr>
            <w:rStyle w:val="InternetLink"/>
          </w:rPr>
          <w:t>Student Rule 24</w:t>
        </w:r>
      </w:hyperlink>
      <w:r>
        <w:rPr/>
        <w:t>.)</w:t>
      </w:r>
    </w:p>
    <w:p>
      <w:pPr>
        <w:pStyle w:val="Normal"/>
        <w:rPr/>
      </w:pPr>
      <w:r>
        <w:rPr/>
      </w:r>
    </w:p>
    <w:p>
      <w:pPr>
        <w:pStyle w:val="Heading3"/>
        <w:rPr/>
      </w:pPr>
      <w:r>
        <w:rPr/>
        <w:t>Academic Integrity Statement and Policy</w:t>
      </w:r>
    </w:p>
    <w:p>
      <w:pPr>
        <w:pStyle w:val="Normal"/>
        <w:keepNext w:val="true"/>
        <w:rPr/>
      </w:pPr>
      <w:r>
        <w:rPr/>
      </w:r>
    </w:p>
    <w:p>
      <w:pPr>
        <w:pStyle w:val="Normal"/>
        <w:rPr/>
      </w:pPr>
      <w:r>
        <w:rPr/>
        <w:t>“</w:t>
      </w:r>
      <w:r>
        <w:rPr/>
        <w:t>An Aggie does not lie, cheat or steal, or tolerate those who do.”</w:t>
      </w:r>
    </w:p>
    <w:p>
      <w:pPr>
        <w:pStyle w:val="Normal"/>
        <w:rPr/>
      </w:pPr>
      <w:r>
        <w:rPr/>
      </w:r>
    </w:p>
    <w:p>
      <w:pPr>
        <w:pStyle w:val="Normal"/>
        <w:rPr/>
      </w:pPr>
      <w:r>
        <w:rPr/>
        <w:t>“</w:t>
      </w:r>
      <w:r>
        <w:rPr/>
        <w:t>Texas A&amp;M University students are responsible for authenticating all work submitted to an instructor. If asked, students must be able to produce proof that the item submitted is indeed the work of that student. Students must keep appropriate records at all times. The inability to authenticate one’s work, should the instructor request it, may be sufficient grounds to initiate an academic misconduct case” (</w:t>
      </w:r>
      <w:hyperlink r:id="rId7">
        <w:r>
          <w:rPr>
            <w:rStyle w:val="InternetLink"/>
          </w:rPr>
          <w:t>Section 20.1.2.3, Student Rule 20</w:t>
        </w:r>
      </w:hyperlink>
      <w:r>
        <w:rPr/>
        <w:t>).</w:t>
      </w:r>
    </w:p>
    <w:p>
      <w:pPr>
        <w:pStyle w:val="Normal"/>
        <w:rPr/>
      </w:pPr>
      <w:r>
        <w:rPr/>
      </w:r>
    </w:p>
    <w:p>
      <w:pPr>
        <w:pStyle w:val="Normal"/>
        <w:rPr>
          <w:b/>
          <w:b/>
        </w:rPr>
      </w:pPr>
      <w:r>
        <w:rPr>
          <w:b/>
        </w:rPr>
        <w:t>Texas A&amp;M at College Station</w:t>
      </w:r>
    </w:p>
    <w:p>
      <w:pPr>
        <w:pStyle w:val="Normal"/>
        <w:rPr>
          <w:i/>
          <w:i/>
        </w:rPr>
      </w:pPr>
      <w:r>
        <w:rPr>
          <w:i/>
        </w:rPr>
        <w:t xml:space="preserve">You can learn more about the Aggie Honor System Office Rules and Procedures, academic integrity, and your rights and responsibilities at </w:t>
      </w:r>
      <w:hyperlink r:id="rId8">
        <w:r>
          <w:rPr>
            <w:rStyle w:val="InternetLink"/>
            <w:i/>
          </w:rPr>
          <w:t>aggiehonor.tamu.edu</w:t>
        </w:r>
      </w:hyperlink>
      <w:r>
        <w:rPr>
          <w:i/>
        </w:rPr>
        <w:t>.</w:t>
      </w:r>
    </w:p>
    <w:p>
      <w:pPr>
        <w:pStyle w:val="Normal"/>
        <w:rPr/>
      </w:pPr>
      <w:r>
        <w:rPr/>
      </w:r>
    </w:p>
    <w:p>
      <w:pPr>
        <w:pStyle w:val="Normal"/>
        <w:rPr>
          <w:b/>
          <w:b/>
        </w:rPr>
      </w:pPr>
      <w:r>
        <w:rPr>
          <w:b/>
        </w:rPr>
        <w:t>Texas A&amp;M at Galveston</w:t>
      </w:r>
    </w:p>
    <w:p>
      <w:pPr>
        <w:pStyle w:val="Normal"/>
        <w:rPr>
          <w:rFonts w:cs="Calibri" w:cstheme="minorHAnsi"/>
          <w:i/>
          <w:i/>
        </w:rPr>
      </w:pPr>
      <w:r>
        <w:rPr>
          <w:rFonts w:eastAsia="Trebuchet MS" w:cs="Calibri" w:cstheme="minorHAnsi"/>
          <w:i/>
        </w:rPr>
        <w:t xml:space="preserve">You can learn more about the Honor Council Rules and Procedures as well as your rights and responsibilities at </w:t>
      </w:r>
      <w:hyperlink r:id="rId9">
        <w:r>
          <w:rPr>
            <w:rFonts w:eastAsia="Trebuchet MS" w:cs="Calibri" w:cstheme="minorHAnsi"/>
            <w:i/>
            <w:color w:val="0563C1"/>
            <w:u w:val="single"/>
          </w:rPr>
          <w:t>tamug.edu/HonorSystem</w:t>
        </w:r>
        <w:r>
          <w:rPr>
            <w:rFonts w:eastAsia="Trebuchet MS" w:cs="Calibri" w:cstheme="minorHAnsi"/>
            <w:i/>
            <w:color w:val="0563C1"/>
          </w:rPr>
          <w:t>.</w:t>
        </w:r>
      </w:hyperlink>
    </w:p>
    <w:p>
      <w:pPr>
        <w:pStyle w:val="Normal"/>
        <w:rPr/>
      </w:pPr>
      <w:r>
        <w:rPr/>
      </w:r>
    </w:p>
    <w:p>
      <w:pPr>
        <w:pStyle w:val="Normal"/>
        <w:rPr>
          <w:b/>
          <w:b/>
        </w:rPr>
      </w:pPr>
      <w:r>
        <w:rPr>
          <w:b/>
        </w:rPr>
        <w:t>Texas A&amp;M at Qatar</w:t>
      </w:r>
    </w:p>
    <w:p>
      <w:pPr>
        <w:pStyle w:val="Normal"/>
        <w:rPr>
          <w:i/>
          <w:i/>
        </w:rPr>
      </w:pPr>
      <w:r>
        <w:rPr>
          <w:i/>
        </w:rPr>
        <w:t xml:space="preserve">You can learn more about academic integrity and your rights and responsibilities at Texas A&amp;M University at Qatar by visiting the </w:t>
      </w:r>
      <w:hyperlink r:id="rId10">
        <w:r>
          <w:rPr>
            <w:i/>
            <w:color w:val="0563C1" w:themeColor="hyperlink"/>
            <w:u w:val="single"/>
          </w:rPr>
          <w:t>Aggie Honor System</w:t>
        </w:r>
      </w:hyperlink>
      <w:r>
        <w:rPr>
          <w:i/>
        </w:rPr>
        <w:t xml:space="preserve"> website.  </w:t>
      </w:r>
    </w:p>
    <w:p>
      <w:pPr>
        <w:pStyle w:val="Normal"/>
        <w:rPr/>
      </w:pPr>
      <w:r>
        <w:rPr/>
      </w:r>
    </w:p>
    <w:p>
      <w:pPr>
        <w:pStyle w:val="Normal"/>
        <w:rPr>
          <w:b/>
          <w:b/>
          <w:i/>
          <w:i/>
        </w:rPr>
      </w:pPr>
      <w:r>
        <w:rPr>
          <w:b/>
          <w:i/>
        </w:rPr>
      </w:r>
    </w:p>
    <w:p>
      <w:pPr>
        <w:pStyle w:val="Normal"/>
        <w:rPr/>
      </w:pPr>
      <w:r>
        <w:rPr/>
      </w:r>
    </w:p>
    <w:p>
      <w:pPr>
        <w:pStyle w:val="Heading3"/>
        <w:rPr/>
      </w:pPr>
      <w:r>
        <w:rPr/>
        <w:t>Americans with Disabilities Act (ADA) Policy</w:t>
      </w:r>
    </w:p>
    <w:p>
      <w:pPr>
        <w:pStyle w:val="Normal"/>
        <w:keepNext w:val="true"/>
        <w:rPr/>
      </w:pPr>
      <w:r>
        <w:rPr/>
      </w:r>
    </w:p>
    <w:p>
      <w:pPr>
        <w:pStyle w:val="Normal"/>
        <w:rPr/>
      </w:pPr>
      <w:r>
        <w:rPr/>
        <w:t>Texas A&amp;M University is committed to providing equitable access to learning opportunities for all students. If you experience barriers to your education due to a disability or think you may have a disability, please contact the Disability Resources office on your campus (resources listed below)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pPr>
        <w:pStyle w:val="Normal"/>
        <w:rPr>
          <w:b/>
          <w:b/>
          <w:i/>
          <w:i/>
        </w:rPr>
      </w:pPr>
      <w:r>
        <w:rPr>
          <w:b/>
          <w:i/>
        </w:rPr>
      </w:r>
    </w:p>
    <w:p>
      <w:pPr>
        <w:pStyle w:val="Normal"/>
        <w:rPr>
          <w:b/>
          <w:b/>
        </w:rPr>
      </w:pPr>
      <w:r>
        <w:rPr>
          <w:b/>
        </w:rPr>
        <w:t>Texas A&amp;M at College Station</w:t>
      </w:r>
    </w:p>
    <w:p>
      <w:pPr>
        <w:pStyle w:val="Normal"/>
        <w:rPr>
          <w:i/>
          <w:i/>
        </w:rPr>
      </w:pPr>
      <w:r>
        <w:rPr>
          <w:i/>
        </w:rPr>
        <w:t xml:space="preserve">Disability Resources is located in the Student Services Building or at (979) 845-1637 or visit </w:t>
      </w:r>
      <w:hyperlink r:id="rId11">
        <w:r>
          <w:rPr>
            <w:rStyle w:val="InternetLink"/>
            <w:i/>
          </w:rPr>
          <w:t>disability.tamu.edu</w:t>
        </w:r>
      </w:hyperlink>
      <w:r>
        <w:rPr>
          <w:i/>
        </w:rPr>
        <w:t>.</w:t>
      </w:r>
    </w:p>
    <w:p>
      <w:pPr>
        <w:pStyle w:val="Normal"/>
        <w:rPr/>
      </w:pPr>
      <w:r>
        <w:rPr/>
      </w:r>
    </w:p>
    <w:p>
      <w:pPr>
        <w:pStyle w:val="Normal"/>
        <w:rPr>
          <w:b/>
          <w:b/>
        </w:rPr>
      </w:pPr>
      <w:r>
        <w:rPr>
          <w:b/>
        </w:rPr>
        <w:t>Texas A&amp;M at Galveston</w:t>
      </w:r>
    </w:p>
    <w:p>
      <w:pPr>
        <w:pStyle w:val="Normal"/>
        <w:rPr>
          <w:rFonts w:cs="Calibri" w:cstheme="minorHAnsi"/>
          <w:i/>
          <w:i/>
        </w:rPr>
      </w:pPr>
      <w:r>
        <w:rPr>
          <w:rFonts w:eastAsia="Trebuchet MS" w:cs="Calibri" w:cstheme="minorHAnsi"/>
          <w:i/>
        </w:rPr>
        <w:t xml:space="preserve">Disability Resources is located in the Student Services Building or at (409) 740-4587 or visit </w:t>
      </w:r>
      <w:hyperlink r:id="rId12">
        <w:r>
          <w:rPr>
            <w:rFonts w:eastAsia="Trebuchet MS" w:cs="Calibri" w:cstheme="minorHAnsi"/>
            <w:i/>
            <w:color w:val="0563C1"/>
            <w:u w:val="single"/>
          </w:rPr>
          <w:t>tamug.edu/counsel/Disabilities</w:t>
        </w:r>
      </w:hyperlink>
      <w:r>
        <w:rPr>
          <w:rFonts w:eastAsia="Trebuchet MS" w:cs="Calibri" w:cstheme="minorHAnsi"/>
          <w:i/>
        </w:rPr>
        <w:t>.</w:t>
      </w:r>
    </w:p>
    <w:p>
      <w:pPr>
        <w:pStyle w:val="Normal"/>
        <w:rPr/>
      </w:pPr>
      <w:r>
        <w:rPr/>
      </w:r>
    </w:p>
    <w:p>
      <w:pPr>
        <w:pStyle w:val="Normal"/>
        <w:rPr>
          <w:b/>
          <w:b/>
        </w:rPr>
      </w:pPr>
      <w:r>
        <w:rPr>
          <w:b/>
        </w:rPr>
        <w:t>Texas A&amp;M at Qatar</w:t>
      </w:r>
    </w:p>
    <w:p>
      <w:pPr>
        <w:pStyle w:val="Normal"/>
        <w:rPr>
          <w:b/>
          <w:b/>
          <w:i/>
          <w:i/>
        </w:rPr>
      </w:pPr>
      <w:r>
        <w:rPr>
          <w:i/>
        </w:rPr>
        <w:t xml:space="preserve">Disability Services is located in the Engineering Building, room 318C or at +974.4423.0316 or visit </w:t>
      </w:r>
      <w:hyperlink r:id="rId13">
        <w:r>
          <w:rPr>
            <w:i/>
            <w:color w:val="0563C1" w:themeColor="hyperlink"/>
            <w:u w:val="single"/>
          </w:rPr>
          <w:t>https://www.qatar.tamu.edu/students/student-affairs/disability-services</w:t>
        </w:r>
      </w:hyperlink>
      <w:r>
        <w:rPr/>
        <w:t xml:space="preserve">.  </w:t>
      </w:r>
    </w:p>
    <w:p>
      <w:pPr>
        <w:pStyle w:val="Normal"/>
        <w:rPr>
          <w:b/>
          <w:b/>
          <w:i/>
          <w:i/>
        </w:rPr>
      </w:pPr>
      <w:r>
        <w:rPr>
          <w:b/>
          <w:i/>
        </w:rPr>
      </w:r>
    </w:p>
    <w:p>
      <w:pPr>
        <w:pStyle w:val="Normal"/>
        <w:rPr/>
      </w:pPr>
      <w:r>
        <w:rPr/>
      </w:r>
    </w:p>
    <w:p>
      <w:pPr>
        <w:pStyle w:val="Heading3"/>
        <w:rPr/>
      </w:pPr>
      <w:r>
        <w:rPr/>
        <w:t>Title IX and Statement on Limits to Confidentiality</w:t>
      </w:r>
    </w:p>
    <w:p>
      <w:pPr>
        <w:pStyle w:val="Normal"/>
        <w:keepNext w:val="true"/>
        <w:rPr/>
      </w:pPr>
      <w:r>
        <w:rPr/>
      </w:r>
    </w:p>
    <w:p>
      <w:pPr>
        <w:pStyle w:val="Normal"/>
        <w:rPr/>
      </w:pPr>
      <w:r>
        <w:rPr/>
        <w:t>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pPr>
        <w:pStyle w:val="Normal"/>
        <w:rPr/>
      </w:pPr>
      <w:r>
        <w:rPr/>
      </w:r>
    </w:p>
    <w:p>
      <w:pPr>
        <w:pStyle w:val="Normal"/>
        <w:rPr/>
      </w:pPr>
      <w:r>
        <w:rPr/>
        <w:t xml:space="preserve">With the exception of some medical and mental health providers, all university employees (including full and part-time faculty, staff, paid graduate assistants, student workers, etc.) are Mandatory Reporters and must report to the Title IX Office if the employee experiences, observes, or becomes aware of an incident that meets the following conditions (see </w:t>
      </w:r>
      <w:hyperlink r:id="rId14">
        <w:r>
          <w:rPr>
            <w:rStyle w:val="InternetLink"/>
          </w:rPr>
          <w:t>University Rule 08.01.01.M1</w:t>
        </w:r>
      </w:hyperlink>
      <w:r>
        <w:rPr/>
        <w:t>):</w:t>
      </w:r>
    </w:p>
    <w:p>
      <w:pPr>
        <w:pStyle w:val="Normal"/>
        <w:rPr/>
      </w:pPr>
      <w:r>
        <w:rPr/>
      </w:r>
    </w:p>
    <w:p>
      <w:pPr>
        <w:pStyle w:val="ListParagraph"/>
        <w:numPr>
          <w:ilvl w:val="0"/>
          <w:numId w:val="3"/>
        </w:numPr>
        <w:rPr/>
      </w:pPr>
      <w:r>
        <w:rPr/>
        <w:t xml:space="preserve">The incident is reasonably believed to be discrimination or harassment. </w:t>
      </w:r>
    </w:p>
    <w:p>
      <w:pPr>
        <w:pStyle w:val="ListParagraph"/>
        <w:numPr>
          <w:ilvl w:val="0"/>
          <w:numId w:val="3"/>
        </w:numPr>
        <w:rPr/>
      </w:pPr>
      <w:r>
        <w:rPr/>
        <w:t xml:space="preserve">The incident is alleged to have been committed by or against a person who, at the time of the incident, was (1) a student enrolled at the University or (2) an employee of the University. </w:t>
      </w:r>
    </w:p>
    <w:p>
      <w:pPr>
        <w:pStyle w:val="Normal"/>
        <w:rPr/>
      </w:pPr>
      <w:r>
        <w:rPr/>
      </w:r>
    </w:p>
    <w:p>
      <w:pPr>
        <w:pStyle w:val="Normal"/>
        <w:rPr/>
      </w:pPr>
      <w:r>
        <w:rPr/>
        <w:t>Mandatory Reporters must file a report regardless of how the information comes to their attention – including but not limited to face-to-face conversations, a written class assignment or paper, class discussion, email, text, or social media post. Although Mandatory Reporters must file a report, in most instances, a person who is subjected to the alleged conduct will be able to control how the report is handled, including whether or not to pursue a formal investigation. The University’s goal is to make sure you are aware of the range of options available to you and to ensure access to the resources you need.</w:t>
      </w:r>
    </w:p>
    <w:p>
      <w:pPr>
        <w:pStyle w:val="Normal"/>
        <w:rPr/>
      </w:pPr>
      <w:r>
        <w:rPr/>
      </w:r>
    </w:p>
    <w:p>
      <w:pPr>
        <w:pStyle w:val="Normal"/>
        <w:rPr>
          <w:b/>
          <w:b/>
          <w:i/>
          <w:i/>
        </w:rPr>
      </w:pPr>
      <w:r>
        <w:rPr>
          <w:b/>
          <w:i/>
        </w:rPr>
      </w:r>
    </w:p>
    <w:p>
      <w:pPr>
        <w:pStyle w:val="Normal"/>
        <w:rPr>
          <w:b/>
          <w:b/>
        </w:rPr>
      </w:pPr>
      <w:r>
        <w:rPr>
          <w:b/>
        </w:rPr>
        <w:t>Texas A&amp;M at College Station</w:t>
      </w:r>
    </w:p>
    <w:p>
      <w:pPr>
        <w:pStyle w:val="Normal"/>
        <w:rPr>
          <w:i/>
          <w:i/>
        </w:rPr>
      </w:pPr>
      <w:r>
        <w:rPr>
          <w:i/>
        </w:rPr>
        <w:t xml:space="preserve">Students wishing to discuss concerns in a confidential setting are encouraged to make an appointment with </w:t>
      </w:r>
      <w:hyperlink r:id="rId15">
        <w:r>
          <w:rPr>
            <w:rStyle w:val="InternetLink"/>
            <w:i/>
          </w:rPr>
          <w:t>Counseling and Psychological Services</w:t>
        </w:r>
      </w:hyperlink>
      <w:r>
        <w:rPr>
          <w:i/>
        </w:rPr>
        <w:t xml:space="preserve"> (CAPS). </w:t>
      </w:r>
    </w:p>
    <w:p>
      <w:pPr>
        <w:pStyle w:val="Normal"/>
        <w:rPr>
          <w:i/>
          <w:i/>
        </w:rPr>
      </w:pPr>
      <w:r>
        <w:rPr>
          <w:i/>
        </w:rPr>
      </w:r>
    </w:p>
    <w:p>
      <w:pPr>
        <w:pStyle w:val="Normal"/>
        <w:rPr>
          <w:i/>
          <w:i/>
        </w:rPr>
      </w:pPr>
      <w:r>
        <w:rPr>
          <w:i/>
        </w:rPr>
        <w:t xml:space="preserve">Students can learn more about filing a report, accessing supportive resources, and navigating the Title IX investigation and resolution process on the University’s </w:t>
      </w:r>
      <w:hyperlink r:id="rId16">
        <w:r>
          <w:rPr>
            <w:rStyle w:val="InternetLink"/>
            <w:i/>
          </w:rPr>
          <w:t>Title IX webpage</w:t>
        </w:r>
      </w:hyperlink>
      <w:r>
        <w:rPr>
          <w:i/>
        </w:rPr>
        <w:t>.</w:t>
      </w:r>
    </w:p>
    <w:p>
      <w:pPr>
        <w:pStyle w:val="Normal"/>
        <w:rPr>
          <w:b/>
          <w:b/>
          <w:i/>
          <w:i/>
        </w:rPr>
      </w:pPr>
      <w:r>
        <w:rPr>
          <w:b/>
          <w:i/>
        </w:rPr>
      </w:r>
    </w:p>
    <w:p>
      <w:pPr>
        <w:pStyle w:val="Normal"/>
        <w:rPr>
          <w:b/>
          <w:b/>
        </w:rPr>
      </w:pPr>
      <w:r>
        <w:rPr>
          <w:b/>
        </w:rPr>
        <w:t>Texas A&amp;M at Galveston</w:t>
      </w:r>
    </w:p>
    <w:p>
      <w:pPr>
        <w:pStyle w:val="Normal"/>
        <w:rPr>
          <w:rFonts w:ascii="Calibri" w:hAnsi="Calibri" w:eastAsia="Trebuchet MS" w:cs="Times New Roman"/>
          <w:i/>
          <w:i/>
          <w:lang w:eastAsia="ja-JP"/>
        </w:rPr>
      </w:pPr>
      <w:r>
        <w:rPr>
          <w:rFonts w:eastAsia="Trebuchet MS" w:cs="Times New Roman"/>
          <w:i/>
          <w:lang w:eastAsia="ja-JP"/>
        </w:rPr>
        <w:t xml:space="preserve">Students wishing to discuss concerns in a confidential setting are encouraged to make an appointment with the Counseling Office in the Seibel Student Center, or call (409)740-4587. For additional information, visit </w:t>
      </w:r>
      <w:hyperlink r:id="rId17">
        <w:r>
          <w:rPr>
            <w:rFonts w:eastAsia="Trebuchet MS" w:cs="Times New Roman"/>
            <w:i/>
            <w:color w:val="0563C1"/>
            <w:u w:val="single"/>
            <w:lang w:eastAsia="ja-JP"/>
          </w:rPr>
          <w:t>tamug.edu/counsel</w:t>
        </w:r>
      </w:hyperlink>
      <w:r>
        <w:rPr>
          <w:rFonts w:eastAsia="Trebuchet MS" w:cs="Times New Roman"/>
          <w:i/>
          <w:lang w:eastAsia="ja-JP"/>
        </w:rPr>
        <w:t>.</w:t>
      </w:r>
    </w:p>
    <w:p>
      <w:pPr>
        <w:pStyle w:val="Normal"/>
        <w:rPr>
          <w:rFonts w:ascii="Calibri" w:hAnsi="Calibri" w:eastAsia="Trebuchet MS" w:cs="Times New Roman"/>
          <w:i/>
          <w:i/>
          <w:lang w:eastAsia="ja-JP"/>
        </w:rPr>
      </w:pPr>
      <w:r>
        <w:rPr>
          <w:rFonts w:eastAsia="Trebuchet MS" w:cs="Times New Roman"/>
          <w:i/>
          <w:lang w:eastAsia="ja-JP"/>
        </w:rPr>
      </w:r>
    </w:p>
    <w:p>
      <w:pPr>
        <w:pStyle w:val="Normal"/>
        <w:rPr>
          <w:rFonts w:ascii="Calibri" w:hAnsi="Calibri" w:eastAsia="Trebuchet MS" w:cs="Times New Roman"/>
          <w:i/>
          <w:i/>
          <w:lang w:eastAsia="ja-JP"/>
        </w:rPr>
      </w:pPr>
      <w:r>
        <w:rPr>
          <w:rFonts w:eastAsia="Trebuchet MS" w:cs="Times New Roman"/>
          <w:i/>
          <w:lang w:eastAsia="ja-JP"/>
        </w:rPr>
        <w:t xml:space="preserve">Students can learn more about filing a report, accessing supportive resources, and navigating the Title IX investigation and resolution process on the Galveston Campus’ </w:t>
      </w:r>
      <w:hyperlink r:id="rId18">
        <w:r>
          <w:rPr>
            <w:rFonts w:eastAsia="Trebuchet MS" w:cs="Times New Roman"/>
            <w:i/>
            <w:color w:val="0563C1"/>
            <w:u w:val="single"/>
            <w:lang w:eastAsia="ja-JP"/>
          </w:rPr>
          <w:t>Title IX webpage</w:t>
        </w:r>
      </w:hyperlink>
      <w:r>
        <w:rPr>
          <w:rFonts w:eastAsia="Trebuchet MS" w:cs="Times New Roman"/>
          <w:i/>
          <w:lang w:eastAsia="ja-JP"/>
        </w:rPr>
        <w:t>.</w:t>
      </w:r>
    </w:p>
    <w:p>
      <w:pPr>
        <w:pStyle w:val="Normal"/>
        <w:rPr>
          <w:b/>
          <w:b/>
          <w:i/>
          <w:i/>
        </w:rPr>
      </w:pPr>
      <w:r>
        <w:rPr>
          <w:b/>
          <w:i/>
        </w:rPr>
      </w:r>
    </w:p>
    <w:p>
      <w:pPr>
        <w:pStyle w:val="Normal"/>
        <w:rPr>
          <w:b/>
          <w:b/>
        </w:rPr>
      </w:pPr>
      <w:r>
        <w:rPr>
          <w:b/>
        </w:rPr>
        <w:t>Texas A&amp;M at Qatar</w:t>
      </w:r>
    </w:p>
    <w:p>
      <w:pPr>
        <w:pStyle w:val="Normal"/>
        <w:rPr>
          <w:rFonts w:ascii="Calibri" w:hAnsi="Calibri" w:eastAsia="Calibri" w:cs="Times New Roman"/>
          <w:i/>
          <w:i/>
        </w:rPr>
      </w:pPr>
      <w:r>
        <w:rPr>
          <w:rFonts w:eastAsia="Calibri" w:cs="Times New Roman"/>
          <w:i/>
        </w:rPr>
        <w:t xml:space="preserve">Texas A&amp;M University at Qatar students wishing to discuss concerns in a confidential setting are encouraged to visit the </w:t>
      </w:r>
      <w:hyperlink r:id="rId19">
        <w:r>
          <w:rPr>
            <w:rFonts w:eastAsia="Calibri" w:cs="Times New Roman"/>
            <w:i/>
            <w:color w:val="0563C1" w:themeColor="hyperlink"/>
            <w:u w:val="single"/>
          </w:rPr>
          <w:t>Health and Wellness</w:t>
        </w:r>
      </w:hyperlink>
      <w:r>
        <w:rPr>
          <w:rFonts w:eastAsia="Calibri" w:cs="Times New Roman"/>
          <w:i/>
        </w:rPr>
        <w:t xml:space="preserve"> website for more information.</w:t>
      </w:r>
    </w:p>
    <w:p>
      <w:pPr>
        <w:pStyle w:val="Normal"/>
        <w:rPr>
          <w:rFonts w:ascii="Calibri" w:hAnsi="Calibri" w:eastAsia="Calibri" w:cs="Times New Roman"/>
          <w:i/>
          <w:i/>
        </w:rPr>
      </w:pPr>
      <w:r>
        <w:rPr>
          <w:rFonts w:eastAsia="Calibri" w:cs="Times New Roman"/>
          <w:i/>
        </w:rPr>
      </w:r>
    </w:p>
    <w:p>
      <w:pPr>
        <w:pStyle w:val="Normal"/>
        <w:rPr>
          <w:rFonts w:ascii="Calibri" w:hAnsi="Calibri" w:eastAsia="Calibri" w:cs="Times New Roman"/>
          <w:i/>
          <w:i/>
        </w:rPr>
      </w:pPr>
      <w:r>
        <w:rPr>
          <w:rFonts w:eastAsia="Calibri" w:cs="Times New Roman"/>
          <w:i/>
        </w:rPr>
        <w:t xml:space="preserve">Students can learn more about filing a report, accessing supportive resources, and navigating the Title IX investigation and resolution process on the University’s </w:t>
      </w:r>
      <w:hyperlink r:id="rId20">
        <w:r>
          <w:rPr>
            <w:rFonts w:eastAsia="Calibri" w:cs="Times New Roman"/>
            <w:i/>
            <w:color w:val="0563C1" w:themeColor="hyperlink"/>
            <w:u w:val="single"/>
          </w:rPr>
          <w:t>Title IX webpage</w:t>
        </w:r>
      </w:hyperlink>
      <w:r>
        <w:rPr>
          <w:rFonts w:eastAsia="Calibri" w:cs="Times New Roman"/>
          <w:i/>
        </w:rPr>
        <w:t>.</w:t>
      </w:r>
    </w:p>
    <w:p>
      <w:pPr>
        <w:pStyle w:val="Normal"/>
        <w:rPr>
          <w:b/>
          <w:b/>
          <w:i/>
          <w:i/>
        </w:rPr>
      </w:pPr>
      <w:r>
        <w:rPr>
          <w:b/>
          <w:i/>
        </w:rPr>
      </w:r>
    </w:p>
    <w:p>
      <w:pPr>
        <w:pStyle w:val="Normal"/>
        <w:rPr>
          <w:b/>
          <w:b/>
          <w:i/>
          <w:i/>
        </w:rPr>
      </w:pPr>
      <w:r>
        <w:rPr>
          <w:b/>
          <w:i/>
        </w:rPr>
      </w:r>
    </w:p>
    <w:p>
      <w:pPr>
        <w:pStyle w:val="Heading3"/>
        <w:rPr/>
      </w:pPr>
      <w:r>
        <w:rPr/>
        <w:t>Statement on Mental Health and Wellness</w:t>
      </w:r>
    </w:p>
    <w:p>
      <w:pPr>
        <w:pStyle w:val="Normal"/>
        <w:rPr/>
      </w:pPr>
      <w:r>
        <w:rPr/>
      </w:r>
    </w:p>
    <w:p>
      <w:pPr>
        <w:pStyle w:val="Normal"/>
        <w:rPr/>
      </w:pPr>
      <w:r>
        <w:rPr/>
        <w:t>Texas A&amp;M University recognizes that mental health and wellness are critical factors that influence a student’s academic success and overall wellbeing. Students are encouraged to engage in healthy self-care by utilizing available resources and services on your campus</w:t>
      </w:r>
    </w:p>
    <w:p>
      <w:pPr>
        <w:pStyle w:val="Normal"/>
        <w:rPr/>
      </w:pPr>
      <w:r>
        <w:rPr/>
      </w:r>
    </w:p>
    <w:p>
      <w:pPr>
        <w:pStyle w:val="Normal"/>
        <w:rPr>
          <w:b/>
          <w:b/>
        </w:rPr>
      </w:pPr>
      <w:r>
        <w:rPr>
          <w:b/>
        </w:rPr>
        <w:t>Texas A&amp;M College Station</w:t>
      </w:r>
    </w:p>
    <w:p>
      <w:pPr>
        <w:pStyle w:val="Normal"/>
        <w:shd w:val="clear" w:color="auto" w:fill="FFFFFF"/>
        <w:rPr>
          <w:rFonts w:ascii="Lato" w:hAnsi="Lato"/>
          <w:color w:val="020202"/>
          <w:sz w:val="24"/>
          <w:szCs w:val="24"/>
        </w:rPr>
      </w:pPr>
      <w:r>
        <w:rPr>
          <w:i/>
        </w:rPr>
        <w:t xml:space="preserve">Students who need someone to talk to can contact Counseling &amp; Psychological Services (CAPS) or call the TAMU Helpline (979-845-2700) from 4:00 p.m. to 8:00 a.m. weekdays and 24 hours on weekends. 24-hour emergency help is also available through the </w:t>
      </w:r>
      <w:r>
        <w:rPr>
          <w:rStyle w:val="Emphasis"/>
          <w:rFonts w:ascii="Lato" w:hAnsi="Lato"/>
          <w:color w:val="020202"/>
          <w:sz w:val="24"/>
          <w:szCs w:val="24"/>
        </w:rPr>
        <w:t>988 Suicide &amp; Crisis Lifeline (988) or at </w:t>
      </w:r>
      <w:hyperlink r:id="rId21" w:tgtFrame="_blank">
        <w:r>
          <w:rPr>
            <w:rStyle w:val="InternetLink"/>
            <w:rFonts w:ascii="Lato" w:hAnsi="Lato"/>
            <w:i/>
            <w:iCs/>
            <w:sz w:val="24"/>
            <w:szCs w:val="24"/>
          </w:rPr>
          <w:t>988lifeline.org </w:t>
        </w:r>
        <w:r>
          <w:rPr>
            <w:rStyle w:val="InternetLink"/>
            <w:rFonts w:ascii="Lato" w:hAnsi="Lato"/>
            <w:i/>
            <w:iCs/>
            <w:color w:val="0000FF"/>
            <w:sz w:val="24"/>
            <w:szCs w:val="24"/>
            <w:u w:val="single"/>
          </w:rPr>
          <w:t>Links to an external site.</w:t>
        </w:r>
      </w:hyperlink>
      <w:r>
        <w:rPr>
          <w:rStyle w:val="Emphasis"/>
          <w:rFonts w:ascii="Lato" w:hAnsi="Lato"/>
          <w:color w:val="020202"/>
          <w:sz w:val="24"/>
          <w:szCs w:val="24"/>
        </w:rPr>
        <w:t>.</w:t>
      </w:r>
    </w:p>
    <w:p>
      <w:pPr>
        <w:pStyle w:val="Normal"/>
        <w:rPr/>
      </w:pPr>
      <w:r>
        <w:rPr/>
      </w:r>
    </w:p>
    <w:p>
      <w:pPr>
        <w:pStyle w:val="Normal"/>
        <w:rPr>
          <w:b/>
          <w:b/>
        </w:rPr>
      </w:pPr>
      <w:r>
        <w:rPr>
          <w:b/>
        </w:rPr>
        <w:t>Texas A&amp;M at Galveston</w:t>
      </w:r>
    </w:p>
    <w:p>
      <w:pPr>
        <w:pStyle w:val="Normal"/>
        <w:shd w:val="clear" w:color="auto" w:fill="FFFFFF"/>
        <w:rPr>
          <w:rFonts w:ascii="Lato" w:hAnsi="Lato"/>
          <w:color w:val="020202"/>
          <w:sz w:val="24"/>
          <w:szCs w:val="24"/>
        </w:rPr>
      </w:pPr>
      <w:r>
        <w:rPr>
          <w:i/>
        </w:rPr>
        <w:t xml:space="preserve">Students who need someone to talk to can call (409) 740-4736 from 8:00 a.m. to 5:00 p.m. weekdays or visit </w:t>
      </w:r>
      <w:hyperlink r:id="rId22">
        <w:r>
          <w:rPr>
            <w:rStyle w:val="InternetLink"/>
            <w:i/>
            <w:color w:val="0070C0"/>
          </w:rPr>
          <w:t>tamug.edu/counsel</w:t>
        </w:r>
      </w:hyperlink>
      <w:r>
        <w:rPr>
          <w:i/>
        </w:rPr>
        <w:t xml:space="preserve"> for more information. For 24-hour emergency assistance during nights and weekends, contact the TAMUG Police Dept at (409) 740-4545. 24-hour emergency help is also available through the </w:t>
      </w:r>
      <w:r>
        <w:rPr>
          <w:rStyle w:val="Emphasis"/>
          <w:rFonts w:ascii="Lato" w:hAnsi="Lato"/>
          <w:color w:val="020202"/>
          <w:sz w:val="24"/>
          <w:szCs w:val="24"/>
        </w:rPr>
        <w:t>988 Suicide &amp; Crisis Lifeline (988) or at </w:t>
      </w:r>
      <w:hyperlink r:id="rId23" w:tgtFrame="_blank">
        <w:r>
          <w:rPr>
            <w:rStyle w:val="InternetLink"/>
            <w:rFonts w:ascii="Lato" w:hAnsi="Lato"/>
            <w:i/>
            <w:iCs/>
            <w:sz w:val="24"/>
            <w:szCs w:val="24"/>
          </w:rPr>
          <w:t>988lifeline.org </w:t>
        </w:r>
        <w:r>
          <w:rPr>
            <w:rStyle w:val="InternetLink"/>
            <w:rFonts w:ascii="Lato" w:hAnsi="Lato"/>
            <w:i/>
            <w:iCs/>
            <w:color w:val="0000FF"/>
            <w:sz w:val="24"/>
            <w:szCs w:val="24"/>
            <w:u w:val="single"/>
          </w:rPr>
          <w:t>Links to an external site.</w:t>
        </w:r>
      </w:hyperlink>
      <w:r>
        <w:rPr>
          <w:rStyle w:val="Emphasis"/>
          <w:rFonts w:ascii="Lato" w:hAnsi="Lato"/>
          <w:color w:val="020202"/>
          <w:sz w:val="24"/>
          <w:szCs w:val="24"/>
        </w:rPr>
        <w:t>.</w:t>
      </w:r>
    </w:p>
    <w:p>
      <w:pPr>
        <w:pStyle w:val="Normal"/>
        <w:rPr/>
      </w:pPr>
      <w:r>
        <w:rPr/>
      </w:r>
    </w:p>
    <w:p>
      <w:pPr>
        <w:pStyle w:val="Normal"/>
        <w:rPr>
          <w:b/>
          <w:b/>
        </w:rPr>
      </w:pPr>
      <w:r>
        <w:rPr>
          <w:b/>
        </w:rPr>
        <w:t>Texas A&amp;M at Qatar</w:t>
      </w:r>
    </w:p>
    <w:p>
      <w:pPr>
        <w:pStyle w:val="Normal"/>
        <w:rPr>
          <w:i/>
          <w:i/>
        </w:rPr>
      </w:pPr>
      <w:r>
        <w:rPr>
          <w:i/>
        </w:rPr>
        <w:t xml:space="preserve">Texas A&amp;M University at Qatar students wishing to discuss concerns in a confidential setting are encouraged to visit the </w:t>
      </w:r>
      <w:hyperlink r:id="rId24">
        <w:r>
          <w:rPr>
            <w:i/>
            <w:color w:val="0563C1" w:themeColor="hyperlink"/>
            <w:u w:val="single"/>
          </w:rPr>
          <w:t>Health and Wellness</w:t>
        </w:r>
      </w:hyperlink>
      <w:r>
        <w:rPr>
          <w:i/>
        </w:rPr>
        <w:t xml:space="preserve"> website for more information. </w:t>
      </w:r>
      <w:r>
        <w:rPr>
          <w:i/>
          <w:highlight w:val="yellow"/>
        </w:rPr>
        <w:t xml:space="preserve"> </w:t>
      </w:r>
    </w:p>
    <w:p>
      <w:pPr>
        <w:pStyle w:val="Heading2"/>
        <w:rPr/>
      </w:pPr>
      <w:r>
        <w:rPr/>
      </w:r>
    </w:p>
    <w:p>
      <w:pPr>
        <w:pStyle w:val="Heading2"/>
        <w:rPr/>
      </w:pPr>
      <w:r>
        <w:rPr/>
        <w:t>Campus-Specific Policies</w:t>
      </w:r>
    </w:p>
    <w:p>
      <w:pPr>
        <w:pStyle w:val="Normal"/>
        <w:rPr/>
      </w:pPr>
      <w:r>
        <w:rPr/>
      </w:r>
    </w:p>
    <w:p>
      <w:pPr>
        <w:pStyle w:val="Heading4"/>
        <w:rPr>
          <w:rFonts w:eastAsia="Times New Roman"/>
          <w:b/>
          <w:b/>
          <w:lang w:eastAsia="ja-JP"/>
        </w:rPr>
      </w:pPr>
      <w:r>
        <w:rPr>
          <w:rFonts w:eastAsia="Times New Roman"/>
          <w:b/>
          <w:i w:val="false"/>
          <w:lang w:eastAsia="ja-JP"/>
        </w:rPr>
        <w:t>Texas A&amp;M at Galveston</w:t>
      </w:r>
    </w:p>
    <w:p>
      <w:pPr>
        <w:pStyle w:val="Normal"/>
        <w:keepNext w:val="true"/>
        <w:keepLines/>
        <w:numPr>
          <w:ilvl w:val="0"/>
          <w:numId w:val="0"/>
        </w:numPr>
        <w:spacing w:before="40" w:after="0"/>
        <w:ind w:left="0" w:hanging="0"/>
        <w:outlineLvl w:val="2"/>
        <w:rPr>
          <w:rFonts w:ascii="Calibri" w:hAnsi="Calibri" w:eastAsia="Times New Roman" w:cs="Times New Roman"/>
          <w:b/>
          <w:b/>
          <w:color w:val="003C71"/>
          <w:sz w:val="26"/>
          <w:szCs w:val="24"/>
          <w:lang w:eastAsia="ja-JP"/>
        </w:rPr>
      </w:pPr>
      <w:r>
        <w:rPr>
          <w:rStyle w:val="Heading5Char"/>
        </w:rPr>
        <w:t>Classroom Access and Inclusion Statement</w:t>
      </w:r>
    </w:p>
    <w:p>
      <w:pPr>
        <w:pStyle w:val="Normal"/>
        <w:spacing w:before="120" w:after="120"/>
        <w:rPr>
          <w:rFonts w:ascii="Calibri" w:hAnsi="Calibri" w:eastAsia="Times New Roman" w:cs="Times New Roman"/>
          <w:lang w:eastAsia="ja-JP"/>
        </w:rPr>
      </w:pPr>
      <w:r>
        <w:rPr>
          <w:rFonts w:eastAsia="Times New Roman" w:cs="Times New Roman"/>
          <w:lang w:eastAsia="ja-JP"/>
        </w:rPr>
        <w:t>Texas A&amp;M University is committed to engaged student participation in all of its programs and courses and provides an accessible academic environment for all students. This means that our classrooms, our virtual spaces, our practices and our interactions are as inclusive as possible and we work to provide a welcoming instructional climate and equal learning opportunities for everyone. If you have an instructional need, please notify me as soon as possible.</w:t>
      </w:r>
    </w:p>
    <w:p>
      <w:pPr>
        <w:pStyle w:val="Normal"/>
        <w:spacing w:before="0" w:after="120"/>
        <w:rPr>
          <w:rFonts w:ascii="Calibri" w:hAnsi="Calibri" w:eastAsia="Times New Roman" w:cs="Times New Roman"/>
          <w:lang w:eastAsia="ja-JP"/>
        </w:rPr>
      </w:pPr>
      <w:r>
        <w:rPr>
          <w:rFonts w:eastAsia="Times New Roman" w:cs="Times New Roman"/>
          <w:lang w:eastAsia="ja-JP"/>
        </w:rPr>
        <w:t xml:space="preserve">The Aggie Core values of respect, excellence, leadership, loyalty, integrity and selfless service in addition to civility, and the ability to listen and to observe others are the foundation of a welcoming instructional climate. Active, thoughtful and respectful participation in all aspects of the course supports a more inclusive classroom environment as well as </w:t>
      </w:r>
      <w:hyperlink r:id="rId25">
        <w:r>
          <w:rPr>
            <w:rFonts w:eastAsia="Trebuchet MS" w:cs="Times New Roman"/>
            <w:color w:val="0070C0"/>
            <w:u w:val="single"/>
            <w:lang w:eastAsia="ja-JP"/>
          </w:rPr>
          <w:t>our</w:t>
        </w:r>
      </w:hyperlink>
      <w:r>
        <w:rPr>
          <w:rFonts w:eastAsia="Times New Roman" w:cs="Times New Roman"/>
          <w:color w:val="0070C0"/>
          <w:lang w:eastAsia="ja-JP"/>
        </w:rPr>
        <w:t xml:space="preserve"> </w:t>
      </w:r>
      <w:hyperlink r:id="rId26">
        <w:r>
          <w:rPr>
            <w:rFonts w:eastAsia="Trebuchet MS" w:cs="Times New Roman"/>
            <w:color w:val="0070C0"/>
            <w:u w:val="single"/>
            <w:lang w:eastAsia="ja-JP"/>
          </w:rPr>
          <w:t>mutual</w:t>
        </w:r>
      </w:hyperlink>
      <w:r>
        <w:rPr>
          <w:rFonts w:eastAsia="Times New Roman" w:cs="Times New Roman"/>
          <w:lang w:eastAsia="ja-JP"/>
        </w:rPr>
        <w:t xml:space="preserve"> responsibilities to the campus community</w:t>
      </w:r>
      <w:r>
        <w:rPr>
          <w:rFonts w:eastAsia="Times New Roman" w:cs="Arial" w:ascii="Arial" w:hAnsi="Arial"/>
          <w:i/>
          <w:iCs/>
          <w:color w:val="333399"/>
          <w:sz w:val="20"/>
          <w:szCs w:val="20"/>
          <w:lang w:eastAsia="ja-JP"/>
        </w:rPr>
        <w:t>.</w:t>
      </w:r>
    </w:p>
    <w:p>
      <w:pPr>
        <w:pStyle w:val="Normal"/>
        <w:spacing w:before="0" w:after="120"/>
        <w:rPr>
          <w:rFonts w:ascii="Calibri" w:hAnsi="Calibri" w:eastAsia="Trebuchet MS" w:cs="Calibri"/>
          <w:lang w:eastAsia="ja-JP"/>
        </w:rPr>
      </w:pPr>
      <w:r>
        <w:rPr>
          <w:rFonts w:eastAsia="Trebuchet MS" w:cs="Calibri"/>
          <w:lang w:eastAsia="ja-JP"/>
        </w:rPr>
      </w:r>
    </w:p>
    <w:p>
      <w:pPr>
        <w:pStyle w:val="Normal"/>
        <w:spacing w:before="0" w:after="120"/>
        <w:rPr>
          <w:rFonts w:ascii="Calibri" w:hAnsi="Calibri" w:eastAsia="Trebuchet MS" w:cs="Times New Roman"/>
          <w:lang w:eastAsia="ja-JP"/>
        </w:rPr>
      </w:pPr>
      <w:r>
        <w:rPr>
          <w:rFonts w:eastAsia="Trebuchet MS" w:cs="Times New Roman"/>
          <w:lang w:eastAsia="ja-JP"/>
        </w:rPr>
      </w:r>
    </w:p>
    <w:p>
      <w:pPr>
        <w:pStyle w:val="Normal"/>
        <w:keepNext w:val="true"/>
        <w:keepLines/>
        <w:numPr>
          <w:ilvl w:val="0"/>
          <w:numId w:val="0"/>
        </w:numPr>
        <w:spacing w:before="40" w:after="120"/>
        <w:ind w:left="0" w:hanging="0"/>
        <w:outlineLvl w:val="2"/>
        <w:rPr>
          <w:rFonts w:ascii="Calibri" w:hAnsi="Calibri" w:eastAsia="Times New Roman" w:cs="Times New Roman"/>
          <w:b/>
          <w:b/>
          <w:color w:val="003C71"/>
          <w:sz w:val="26"/>
          <w:szCs w:val="24"/>
          <w:lang w:eastAsia="ja-JP"/>
        </w:rPr>
      </w:pPr>
      <w:r>
        <w:rPr>
          <w:rStyle w:val="Heading5Char"/>
        </w:rPr>
        <w:t>Statement on the Family Educational Rights and Privacy Act (FERPA)</w:t>
      </w:r>
    </w:p>
    <w:p>
      <w:pPr>
        <w:pStyle w:val="Normal"/>
        <w:spacing w:before="0" w:after="120"/>
        <w:ind w:right="155" w:hanging="0"/>
        <w:rPr>
          <w:rFonts w:ascii="Calibri" w:hAnsi="Calibri" w:eastAsia="Trebuchet MS" w:cs="Times New Roman"/>
          <w:szCs w:val="20"/>
          <w:lang w:eastAsia="ja-JP"/>
        </w:rPr>
      </w:pPr>
      <w:r>
        <w:rPr>
          <w:rFonts w:eastAsia="Trebuchet MS" w:cs="Times New Roman"/>
          <w:szCs w:val="20"/>
          <w:lang w:eastAsia="ja-JP"/>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Pr>
          <w:rFonts w:eastAsia="Trebuchet MS" w:cs="Times New Roman"/>
          <w:color w:val="333333"/>
          <w:szCs w:val="20"/>
          <w:lang w:eastAsia="ja-JP"/>
        </w:rPr>
        <w:t xml:space="preserve">Currently enrolled students wishing to withhold any or all directory information items may do so by going to </w:t>
      </w:r>
      <w:hyperlink r:id="rId27">
        <w:r>
          <w:rPr>
            <w:rFonts w:eastAsia="Trebuchet MS" w:cs="Times New Roman"/>
            <w:color w:val="0563C1"/>
            <w:u w:val="single"/>
            <w:lang w:eastAsia="ja-JP"/>
          </w:rPr>
          <w:t>howdy.tamu.edu</w:t>
        </w:r>
        <w:r>
          <w:rPr>
            <w:rFonts w:eastAsia="Trebuchet MS" w:cs="Times New Roman"/>
            <w:color w:val="333333"/>
            <w:szCs w:val="20"/>
            <w:u w:val="single"/>
            <w:lang w:eastAsia="ja-JP"/>
          </w:rPr>
          <w:t xml:space="preserve"> </w:t>
        </w:r>
      </w:hyperlink>
      <w:r>
        <w:rPr>
          <w:rFonts w:eastAsia="Trebuchet MS" w:cs="Times New Roman"/>
          <w:color w:val="333333"/>
          <w:szCs w:val="20"/>
          <w:lang w:eastAsia="ja-JP"/>
        </w:rPr>
        <w:t xml:space="preserve">and clicking on the "Directory Hold Information" link in the Student Records channel on the MyRecord tab. The complete </w:t>
      </w:r>
      <w:r>
        <w:fldChar w:fldCharType="begin"/>
      </w:r>
      <w:r>
        <w:rPr>
          <w:u w:val="single"/>
          <w:rFonts w:eastAsia="Trebuchet MS" w:cs="Times New Roman"/>
          <w:color w:val="0563C1"/>
          <w:lang w:eastAsia="ja-JP"/>
        </w:rPr>
        <w:instrText> HYPERLINK "http://registrar.tamu.edu/Catalogs%2C-Policies-Procedures/FERPA/FERPA-Notice-to-Students" \l "0-StatementofRights"</w:instrText>
      </w:r>
      <w:r>
        <w:rPr>
          <w:u w:val="single"/>
          <w:rFonts w:eastAsia="Trebuchet MS" w:cs="Times New Roman"/>
          <w:color w:val="0563C1"/>
          <w:lang w:eastAsia="ja-JP"/>
        </w:rPr>
        <w:fldChar w:fldCharType="separate"/>
      </w:r>
      <w:r>
        <w:rPr>
          <w:rFonts w:eastAsia="Trebuchet MS" w:cs="Times New Roman"/>
          <w:color w:val="0563C1"/>
          <w:u w:val="single"/>
          <w:lang w:eastAsia="ja-JP"/>
        </w:rPr>
        <w:t>FERPA Notice to Students</w:t>
      </w:r>
      <w:r>
        <w:rPr>
          <w:u w:val="single"/>
          <w:rFonts w:eastAsia="Trebuchet MS" w:cs="Times New Roman"/>
          <w:color w:val="0563C1"/>
          <w:lang w:eastAsia="ja-JP"/>
        </w:rPr>
        <w:fldChar w:fldCharType="end"/>
      </w:r>
      <w:r>
        <w:rPr>
          <w:rFonts w:eastAsia="Trebuchet MS" w:cs="Times New Roman"/>
          <w:color w:val="333333"/>
          <w:szCs w:val="20"/>
          <w:lang w:eastAsia="ja-JP"/>
        </w:rPr>
        <w:t xml:space="preserve"> and the student records policy is available on the Office of the Registrar webpage.</w:t>
      </w:r>
      <w:r>
        <w:rPr>
          <w:rFonts w:eastAsia="Trebuchet MS" w:cs="Times New Roman"/>
          <w:szCs w:val="20"/>
          <w:lang w:eastAsia="ja-JP"/>
        </w:rPr>
        <w:t xml:space="preserve"> </w:t>
      </w:r>
    </w:p>
    <w:p>
      <w:pPr>
        <w:pStyle w:val="Normal"/>
        <w:spacing w:before="0" w:after="120"/>
        <w:ind w:right="164" w:hanging="0"/>
        <w:rPr>
          <w:rFonts w:ascii="Calibri" w:hAnsi="Calibri" w:eastAsia="Trebuchet MS" w:cs="Times New Roman"/>
          <w:highlight w:val="yellow"/>
          <w:lang w:eastAsia="ja-JP"/>
        </w:rPr>
      </w:pPr>
      <w:r>
        <w:rPr>
          <w:rFonts w:eastAsia="Trebuchet MS" w:cs="Times New Roman"/>
          <w:szCs w:val="20"/>
          <w:lang w:eastAsia="ja-JP"/>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p>
      <w:pPr>
        <w:pStyle w:val="Normal"/>
        <w:spacing w:before="0" w:after="120"/>
        <w:ind w:right="164" w:hanging="0"/>
        <w:rPr>
          <w:rFonts w:ascii="Calibri" w:hAnsi="Calibri" w:eastAsia="Trebuchet MS" w:cs="Times New Roman"/>
          <w:highlight w:val="yellow"/>
          <w:lang w:eastAsia="ja-JP"/>
        </w:rPr>
      </w:pPr>
      <w:r>
        <w:rPr>
          <w:rFonts w:eastAsia="Trebuchet MS" w:cs="Times New Roman"/>
          <w:lang w:eastAsia="ja-JP"/>
        </w:rP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p>
      <w:pPr>
        <w:pStyle w:val="Normal"/>
        <w:rPr/>
      </w:pPr>
      <w:r>
        <w:rPr/>
      </w:r>
    </w:p>
    <w:p>
      <w:pPr>
        <w:pStyle w:val="Normal"/>
        <w:rPr/>
      </w:pPr>
      <w:r>
        <w:rPr/>
      </w:r>
    </w:p>
    <w:p>
      <w:pPr>
        <w:pStyle w:val="Heading2"/>
        <w:rPr/>
      </w:pPr>
      <w:r>
        <w:rPr/>
        <w:t>College and Department Policies</w:t>
      </w:r>
    </w:p>
    <w:p>
      <w:pPr>
        <w:pStyle w:val="Normal"/>
        <w:keepNext w:val="true"/>
        <w:rPr/>
      </w:pPr>
      <w:r>
        <w:rPr/>
      </w:r>
    </w:p>
    <w:p>
      <w:pPr>
        <w:pStyle w:val="Normal"/>
        <w:rPr/>
      </w:pPr>
      <w:r>
        <w:rPr/>
        <w:t>College and departmental units may establish their own policies and minimum syllabus requirements. As long as these policies and requirements do not contradict the university level requirements, colleges and departments can add them in this section. Please remove this section if not needed.</w:t>
      </w:r>
    </w:p>
    <w:sectPr>
      <w:headerReference w:type="default" r:id="rId28"/>
      <w:footerReference w:type="default" r:id="rId29"/>
      <w:type w:val="nextPage"/>
      <w:pgSz w:w="12240" w:h="15840"/>
      <w:pgMar w:left="1440" w:right="1440" w:header="720" w:top="1080" w:footer="720"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Lato">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39413582"/>
      <w:alias w:val="Enter days:"/>
    </w:sdtPr>
    <w:sdtContent>
      <w:p>
        <w:pPr>
          <w:pStyle w:val="Footer"/>
          <w:jc w:val="center"/>
          <w:rPr>
            <w:sz w:val="12"/>
            <w:szCs w:val="12"/>
          </w:rPr>
        </w:pPr>
        <w:r>
          <w:rPr/>
          <mc:AlternateContent>
            <mc:Choice Requires="wps">
              <w:drawing>
                <wp:inline distT="0" distB="19050" distL="0" distR="19050" wp14:anchorId="0C960732">
                  <wp:extent cx="5945505" cy="1270"/>
                  <wp:effectExtent l="0" t="0" r="19050" b="19050"/>
                  <wp:docPr id="3" name="Shape2"/>
                  <a:graphic xmlns:a="http://schemas.openxmlformats.org/drawingml/2006/main">
                    <a:graphicData uri="http://schemas.microsoft.com/office/word/2010/wordprocessingShape">
                      <wps:wsp>
                        <wps:cNvSpPr/>
                        <wps:spPr>
                          <a:xfrm>
                            <a:off x="0" y="0"/>
                            <a:ext cx="5945040" cy="0"/>
                          </a:xfrm>
                          <a:prstGeom prst="line">
                            <a:avLst/>
                          </a:prstGeom>
                          <a:ln>
                            <a:solidFill>
                              <a:srgbClr val="500000"/>
                            </a:solidFill>
                          </a:ln>
                        </wps:spPr>
                        <wps:style>
                          <a:lnRef idx="3">
                            <a:schemeClr val="dk1"/>
                          </a:lnRef>
                          <a:fillRef idx="0">
                            <a:schemeClr val="dk1"/>
                          </a:fillRef>
                          <a:effectRef idx="2">
                            <a:schemeClr val="dk1"/>
                          </a:effectRef>
                          <a:fontRef idx="minor"/>
                        </wps:style>
                        <wps:bodyPr/>
                      </wps:wsp>
                    </a:graphicData>
                  </a:graphic>
                </wp:inline>
              </w:drawing>
            </mc:Choice>
            <mc:Fallback>
              <w:pict>
                <v:line id="shape_0" from="0pt,-1.55pt" to="468.05pt,-1.55pt" ID="Shape2" stroked="t" style="position:absolute;mso-position-vertical:top" wp14:anchorId="0C960732">
                  <v:stroke color="#500000" weight="19080" joinstyle="miter" endcap="flat"/>
                  <v:fill o:detectmouseclick="t" on="false"/>
                  <w10:wrap type="square"/>
                </v:line>
              </w:pict>
            </mc:Fallback>
          </mc:AlternateContent>
        </w:r>
      </w:p>
      <w:p>
        <w:pPr>
          <w:pStyle w:val="Footer"/>
          <w:jc w:val="center"/>
          <w:rPr>
            <w:sz w:val="12"/>
            <w:szCs w:val="12"/>
          </w:rPr>
        </w:pPr>
        <w:r>
          <w:rPr>
            <w:sz w:val="12"/>
            <w:szCs w:val="12"/>
          </w:rPr>
        </w:r>
      </w:p>
      <w:p>
        <w:pPr>
          <w:pStyle w:val="Footer"/>
          <w:jc w:val="right"/>
          <w:rPr>
            <w:color w:val="500000"/>
            <w:sz w:val="16"/>
            <w:szCs w:val="16"/>
          </w:rPr>
        </w:pPr>
        <w:r>
          <w:rPr>
            <w:color w:val="500000"/>
            <w:sz w:val="16"/>
            <w:szCs w:val="16"/>
          </w:rPr>
          <w:t xml:space="preserve">Page </w:t>
        </w:r>
        <w:r>
          <w:rPr>
            <w:bCs/>
            <w:color w:val="500000"/>
            <w:sz w:val="16"/>
            <w:szCs w:val="16"/>
          </w:rPr>
          <w:fldChar w:fldCharType="begin"/>
        </w:r>
        <w:r>
          <w:rPr>
            <w:sz w:val="16"/>
            <w:szCs w:val="16"/>
            <w:bCs/>
            <w:color w:val="500000"/>
          </w:rPr>
          <w:instrText> PAGE </w:instrText>
        </w:r>
        <w:r>
          <w:rPr>
            <w:sz w:val="16"/>
            <w:szCs w:val="16"/>
            <w:bCs/>
            <w:color w:val="500000"/>
          </w:rPr>
          <w:fldChar w:fldCharType="separate"/>
        </w:r>
        <w:r>
          <w:rPr>
            <w:sz w:val="16"/>
            <w:szCs w:val="16"/>
            <w:bCs/>
            <w:color w:val="500000"/>
          </w:rPr>
          <w:t>6</w:t>
        </w:r>
        <w:r>
          <w:rPr>
            <w:sz w:val="16"/>
            <w:szCs w:val="16"/>
            <w:bCs/>
            <w:color w:val="500000"/>
          </w:rPr>
          <w:fldChar w:fldCharType="end"/>
        </w:r>
        <w:r>
          <w:rPr>
            <w:color w:val="500000"/>
            <w:sz w:val="16"/>
            <w:szCs w:val="16"/>
          </w:rPr>
          <w:t xml:space="preserve"> of </w:t>
        </w:r>
        <w:r>
          <w:rPr>
            <w:bCs/>
            <w:color w:val="500000"/>
            <w:sz w:val="16"/>
            <w:szCs w:val="16"/>
          </w:rPr>
          <w:fldChar w:fldCharType="begin"/>
        </w:r>
        <w:r>
          <w:rPr>
            <w:sz w:val="16"/>
            <w:szCs w:val="16"/>
            <w:bCs/>
            <w:color w:val="500000"/>
          </w:rPr>
          <w:instrText> NUMPAGES </w:instrText>
        </w:r>
        <w:r>
          <w:rPr>
            <w:sz w:val="16"/>
            <w:szCs w:val="16"/>
            <w:bCs/>
            <w:color w:val="500000"/>
          </w:rPr>
          <w:fldChar w:fldCharType="separate"/>
        </w:r>
        <w:r>
          <w:rPr>
            <w:sz w:val="16"/>
            <w:szCs w:val="16"/>
            <w:bCs/>
            <w:color w:val="500000"/>
          </w:rPr>
          <w:t>6</w:t>
        </w:r>
        <w:r>
          <w:rPr>
            <w:sz w:val="16"/>
            <w:szCs w:val="16"/>
            <w:bCs/>
            <w:color w:val="500000"/>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Style w:val="Heading1Char"/>
      </w:rPr>
    </w:pPr>
    <w:r>
      <w:rPr/>
      <w:drawing>
        <wp:inline distT="0" distB="0" distL="0" distR="0">
          <wp:extent cx="2434590" cy="528955"/>
          <wp:effectExtent l="0" t="0" r="0" b="0"/>
          <wp:docPr id="1" name="Picture 1" descr="Texas A&amp;M University primary mark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as A&amp;M University primary mark brand logo"/>
                  <pic:cNvPicPr>
                    <a:picLocks noChangeAspect="1" noChangeArrowheads="1"/>
                  </pic:cNvPicPr>
                </pic:nvPicPr>
                <pic:blipFill>
                  <a:blip r:embed="rId1"/>
                  <a:stretch>
                    <a:fillRect/>
                  </a:stretch>
                </pic:blipFill>
                <pic:spPr bwMode="auto">
                  <a:xfrm>
                    <a:off x="0" y="0"/>
                    <a:ext cx="2434590" cy="528955"/>
                  </a:xfrm>
                  <a:prstGeom prst="rect">
                    <a:avLst/>
                  </a:prstGeom>
                </pic:spPr>
              </pic:pic>
            </a:graphicData>
          </a:graphic>
        </wp:inline>
      </w:drawing>
    </w:r>
    <w:r>
      <w:rPr/>
      <w:tab/>
      <w:tab/>
    </w:r>
    <w:r>
      <w:rPr>
        <w:rStyle w:val="Heading1Char"/>
      </w:rPr>
      <w:t>Course Syllabus</w:t>
    </w:r>
  </w:p>
  <w:p>
    <w:pPr>
      <w:pStyle w:val="Header"/>
      <w:rPr>
        <w:sz w:val="16"/>
        <w:szCs w:val="16"/>
      </w:rPr>
    </w:pPr>
    <w:r>
      <w:rPr/>
      <mc:AlternateContent>
        <mc:Choice Requires="wps">
          <w:drawing>
            <wp:inline distT="0" distB="19050" distL="0" distR="19050" wp14:anchorId="57C769C2">
              <wp:extent cx="5945505" cy="1270"/>
              <wp:effectExtent l="0" t="0" r="19050" b="19050"/>
              <wp:docPr id="2" name="Shape1"/>
              <a:graphic xmlns:a="http://schemas.openxmlformats.org/drawingml/2006/main">
                <a:graphicData uri="http://schemas.microsoft.com/office/word/2010/wordprocessingShape">
                  <wps:wsp>
                    <wps:cNvSpPr/>
                    <wps:spPr>
                      <a:xfrm>
                        <a:off x="0" y="0"/>
                        <a:ext cx="5945040" cy="0"/>
                      </a:xfrm>
                      <a:prstGeom prst="line">
                        <a:avLst/>
                      </a:prstGeom>
                      <a:ln>
                        <a:solidFill>
                          <a:srgbClr val="500000"/>
                        </a:solidFill>
                      </a:ln>
                    </wps:spPr>
                    <wps:style>
                      <a:lnRef idx="3">
                        <a:schemeClr val="dk1"/>
                      </a:lnRef>
                      <a:fillRef idx="0">
                        <a:schemeClr val="dk1"/>
                      </a:fillRef>
                      <a:effectRef idx="2">
                        <a:schemeClr val="dk1"/>
                      </a:effectRef>
                      <a:fontRef idx="minor"/>
                    </wps:style>
                    <wps:bodyPr/>
                  </wps:wsp>
                </a:graphicData>
              </a:graphic>
            </wp:inline>
          </w:drawing>
        </mc:Choice>
        <mc:Fallback>
          <w:pict>
            <v:line id="shape_0" from="0pt,-1.55pt" to="468.05pt,-1.55pt" ID="Shape1" stroked="t" style="position:absolute;mso-position-vertical:top" wp14:anchorId="57C769C2">
              <v:stroke color="#500000" weight="19080" joinstyle="miter" endcap="flat"/>
              <v:fill o:detectmouseclick="t" on="false"/>
              <w10:wrap type="square"/>
            </v:line>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144"/>
        </w:tabs>
        <w:ind w:left="144" w:hanging="144"/>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397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5e3c51"/>
    <w:pPr>
      <w:keepNext w:val="true"/>
      <w:keepLines/>
      <w:outlineLvl w:val="0"/>
    </w:pPr>
    <w:rPr>
      <w:rFonts w:ascii="Cambria" w:hAnsi="Cambria" w:eastAsia="" w:cs="" w:cstheme="majorBidi" w:eastAsiaTheme="majorEastAsia"/>
      <w:color w:val="500000"/>
      <w:sz w:val="30"/>
      <w:szCs w:val="32"/>
    </w:rPr>
  </w:style>
  <w:style w:type="paragraph" w:styleId="Heading2">
    <w:name w:val="Heading 2"/>
    <w:basedOn w:val="Normal"/>
    <w:next w:val="Normal"/>
    <w:link w:val="Heading2Char"/>
    <w:uiPriority w:val="9"/>
    <w:unhideWhenUsed/>
    <w:qFormat/>
    <w:rsid w:val="005e3c51"/>
    <w:pPr>
      <w:keepNext w:val="true"/>
      <w:keepLines/>
      <w:outlineLvl w:val="1"/>
    </w:pPr>
    <w:rPr>
      <w:rFonts w:ascii="Cambria" w:hAnsi="Cambria" w:eastAsia="" w:cs="" w:cstheme="majorBidi" w:eastAsiaTheme="majorEastAsia"/>
      <w:color w:val="500000"/>
      <w:sz w:val="28"/>
      <w:szCs w:val="26"/>
    </w:rPr>
  </w:style>
  <w:style w:type="paragraph" w:styleId="Heading3">
    <w:name w:val="Heading 3"/>
    <w:basedOn w:val="Normal"/>
    <w:next w:val="Normal"/>
    <w:link w:val="Heading3Char"/>
    <w:uiPriority w:val="9"/>
    <w:unhideWhenUsed/>
    <w:qFormat/>
    <w:rsid w:val="005e3c51"/>
    <w:pPr>
      <w:keepNext w:val="true"/>
      <w:keepLines/>
      <w:outlineLvl w:val="2"/>
    </w:pPr>
    <w:rPr>
      <w:rFonts w:ascii="Cambria" w:hAnsi="Cambria" w:eastAsia="" w:cs="" w:cstheme="majorBidi" w:eastAsiaTheme="majorEastAsia"/>
      <w:color w:val="500000"/>
      <w:sz w:val="26"/>
      <w:szCs w:val="24"/>
    </w:rPr>
  </w:style>
  <w:style w:type="paragraph" w:styleId="Heading4">
    <w:name w:val="Heading 4"/>
    <w:basedOn w:val="Normal"/>
    <w:next w:val="Normal"/>
    <w:link w:val="Heading4Char"/>
    <w:uiPriority w:val="9"/>
    <w:unhideWhenUsed/>
    <w:qFormat/>
    <w:rsid w:val="00cd12a6"/>
    <w:pPr>
      <w:keepNext w:val="true"/>
      <w:keepLines/>
      <w:outlineLvl w:val="3"/>
    </w:pPr>
    <w:rPr>
      <w:rFonts w:ascii="Cambria" w:hAnsi="Cambria" w:eastAsia="" w:cs="" w:cstheme="majorBidi" w:eastAsiaTheme="majorEastAsia"/>
      <w:i/>
      <w:iCs/>
      <w:color w:val="500000"/>
      <w:sz w:val="24"/>
    </w:rPr>
  </w:style>
  <w:style w:type="paragraph" w:styleId="Heading5">
    <w:name w:val="Heading 5"/>
    <w:basedOn w:val="Normal"/>
    <w:next w:val="Normal"/>
    <w:link w:val="Heading5Char"/>
    <w:uiPriority w:val="9"/>
    <w:unhideWhenUsed/>
    <w:qFormat/>
    <w:rsid w:val="0012344b"/>
    <w:pPr>
      <w:keepNext w:val="true"/>
      <w:keepLines/>
      <w:ind w:left="720" w:hanging="0"/>
      <w:outlineLvl w:val="4"/>
    </w:pPr>
    <w:rPr>
      <w:rFonts w:ascii="Calibri Light" w:hAnsi="Calibri Light" w:eastAsia="" w:cs="" w:asciiTheme="majorHAnsi" w:cstheme="majorBidi" w:eastAsiaTheme="majorEastAsia" w:hAnsiTheme="majorHAnsi"/>
      <w:color w:val="50000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e3c51"/>
    <w:rPr>
      <w:rFonts w:ascii="Cambria" w:hAnsi="Cambria" w:eastAsia="" w:cs="" w:cstheme="majorBidi" w:eastAsiaTheme="majorEastAsia"/>
      <w:color w:val="500000"/>
      <w:sz w:val="30"/>
      <w:szCs w:val="32"/>
    </w:rPr>
  </w:style>
  <w:style w:type="character" w:styleId="Heading2Char" w:customStyle="1">
    <w:name w:val="Heading 2 Char"/>
    <w:basedOn w:val="DefaultParagraphFont"/>
    <w:link w:val="Heading2"/>
    <w:uiPriority w:val="9"/>
    <w:qFormat/>
    <w:rsid w:val="005e3c51"/>
    <w:rPr>
      <w:rFonts w:ascii="Cambria" w:hAnsi="Cambria" w:eastAsia="" w:cs="" w:cstheme="majorBidi" w:eastAsiaTheme="majorEastAsia"/>
      <w:color w:val="500000"/>
      <w:sz w:val="28"/>
      <w:szCs w:val="26"/>
    </w:rPr>
  </w:style>
  <w:style w:type="character" w:styleId="Heading3Char" w:customStyle="1">
    <w:name w:val="Heading 3 Char"/>
    <w:basedOn w:val="DefaultParagraphFont"/>
    <w:link w:val="Heading3"/>
    <w:uiPriority w:val="9"/>
    <w:qFormat/>
    <w:rsid w:val="005e3c51"/>
    <w:rPr>
      <w:rFonts w:ascii="Cambria" w:hAnsi="Cambria" w:eastAsia="" w:cs="" w:cstheme="majorBidi" w:eastAsiaTheme="majorEastAsia"/>
      <w:color w:val="500000"/>
      <w:sz w:val="26"/>
      <w:szCs w:val="24"/>
    </w:rPr>
  </w:style>
  <w:style w:type="character" w:styleId="Heading4Char" w:customStyle="1">
    <w:name w:val="Heading 4 Char"/>
    <w:basedOn w:val="DefaultParagraphFont"/>
    <w:link w:val="Heading4"/>
    <w:uiPriority w:val="9"/>
    <w:qFormat/>
    <w:rsid w:val="00cd12a6"/>
    <w:rPr>
      <w:rFonts w:ascii="Cambria" w:hAnsi="Cambria" w:eastAsia="" w:cs="" w:cstheme="majorBidi" w:eastAsiaTheme="majorEastAsia"/>
      <w:i/>
      <w:iCs/>
      <w:color w:val="500000"/>
      <w:sz w:val="24"/>
    </w:rPr>
  </w:style>
  <w:style w:type="character" w:styleId="TitleChar" w:customStyle="1">
    <w:name w:val="Title Char"/>
    <w:basedOn w:val="DefaultParagraphFont"/>
    <w:link w:val="Title"/>
    <w:uiPriority w:val="10"/>
    <w:qFormat/>
    <w:rsid w:val="00bc62f9"/>
    <w:rPr>
      <w:rFonts w:ascii="Calibri Light" w:hAnsi="Calibri Light" w:eastAsia="" w:cs="" w:asciiTheme="majorHAnsi" w:cstheme="majorBidi" w:eastAsiaTheme="majorEastAsia" w:hAnsiTheme="majorHAnsi"/>
      <w:color w:val="500000"/>
      <w:spacing w:val="-10"/>
      <w:kern w:val="2"/>
      <w:sz w:val="40"/>
      <w:szCs w:val="56"/>
    </w:rPr>
  </w:style>
  <w:style w:type="character" w:styleId="Heading5Char" w:customStyle="1">
    <w:name w:val="Heading 5 Char"/>
    <w:basedOn w:val="DefaultParagraphFont"/>
    <w:link w:val="Heading5"/>
    <w:uiPriority w:val="9"/>
    <w:qFormat/>
    <w:rsid w:val="0012344b"/>
    <w:rPr>
      <w:rFonts w:ascii="Calibri Light" w:hAnsi="Calibri Light" w:eastAsia="" w:cs="" w:asciiTheme="majorHAnsi" w:cstheme="majorBidi" w:eastAsiaTheme="majorEastAsia" w:hAnsiTheme="majorHAnsi"/>
      <w:color w:val="500000"/>
    </w:rPr>
  </w:style>
  <w:style w:type="character" w:styleId="InternetLink">
    <w:name w:val="Hyperlink"/>
    <w:basedOn w:val="DefaultParagraphFont"/>
    <w:uiPriority w:val="99"/>
    <w:unhideWhenUsed/>
    <w:rsid w:val="00281d66"/>
    <w:rPr>
      <w:color w:val="0563C1" w:themeColor="hyperlink"/>
      <w:u w:val="single"/>
    </w:rPr>
  </w:style>
  <w:style w:type="character" w:styleId="HeaderChar" w:customStyle="1">
    <w:name w:val="Header Char"/>
    <w:basedOn w:val="DefaultParagraphFont"/>
    <w:link w:val="Header"/>
    <w:uiPriority w:val="99"/>
    <w:qFormat/>
    <w:rsid w:val="008927f1"/>
    <w:rPr/>
  </w:style>
  <w:style w:type="character" w:styleId="FooterChar" w:customStyle="1">
    <w:name w:val="Footer Char"/>
    <w:basedOn w:val="DefaultParagraphFont"/>
    <w:link w:val="Footer"/>
    <w:uiPriority w:val="99"/>
    <w:qFormat/>
    <w:rsid w:val="008927f1"/>
    <w:rPr/>
  </w:style>
  <w:style w:type="character" w:styleId="Annotationreference">
    <w:name w:val="annotation reference"/>
    <w:basedOn w:val="DefaultParagraphFont"/>
    <w:uiPriority w:val="99"/>
    <w:semiHidden/>
    <w:unhideWhenUsed/>
    <w:qFormat/>
    <w:rsid w:val="00400847"/>
    <w:rPr>
      <w:sz w:val="16"/>
      <w:szCs w:val="16"/>
    </w:rPr>
  </w:style>
  <w:style w:type="character" w:styleId="CommentTextChar" w:customStyle="1">
    <w:name w:val="Comment Text Char"/>
    <w:basedOn w:val="DefaultParagraphFont"/>
    <w:link w:val="CommentText"/>
    <w:uiPriority w:val="99"/>
    <w:semiHidden/>
    <w:qFormat/>
    <w:rsid w:val="00400847"/>
    <w:rPr>
      <w:sz w:val="20"/>
      <w:szCs w:val="20"/>
    </w:rPr>
  </w:style>
  <w:style w:type="character" w:styleId="CommentSubjectChar" w:customStyle="1">
    <w:name w:val="Comment Subject Char"/>
    <w:basedOn w:val="CommentTextChar"/>
    <w:link w:val="CommentSubject"/>
    <w:uiPriority w:val="99"/>
    <w:semiHidden/>
    <w:qFormat/>
    <w:rsid w:val="00400847"/>
    <w:rPr>
      <w:b/>
      <w:bCs/>
      <w:sz w:val="20"/>
      <w:szCs w:val="20"/>
    </w:rPr>
  </w:style>
  <w:style w:type="character" w:styleId="BalloonTextChar" w:customStyle="1">
    <w:name w:val="Balloon Text Char"/>
    <w:basedOn w:val="DefaultParagraphFont"/>
    <w:link w:val="BalloonText"/>
    <w:uiPriority w:val="99"/>
    <w:semiHidden/>
    <w:qFormat/>
    <w:rsid w:val="00400847"/>
    <w:rPr>
      <w:rFonts w:ascii="Segoe UI" w:hAnsi="Segoe UI" w:cs="Segoe UI"/>
      <w:sz w:val="18"/>
      <w:szCs w:val="18"/>
    </w:rPr>
  </w:style>
  <w:style w:type="character" w:styleId="VisitedInternetLink">
    <w:name w:val="FollowedHyperlink"/>
    <w:basedOn w:val="DefaultParagraphFont"/>
    <w:uiPriority w:val="99"/>
    <w:semiHidden/>
    <w:unhideWhenUsed/>
    <w:rsid w:val="00812308"/>
    <w:rPr>
      <w:color w:val="954F72" w:themeColor="followedHyperlink"/>
      <w:u w:val="single"/>
    </w:rPr>
  </w:style>
  <w:style w:type="character" w:styleId="UnresolvedMention">
    <w:name w:val="Unresolved Mention"/>
    <w:basedOn w:val="DefaultParagraphFont"/>
    <w:uiPriority w:val="99"/>
    <w:semiHidden/>
    <w:unhideWhenUsed/>
    <w:qFormat/>
    <w:rsid w:val="004a0134"/>
    <w:rPr>
      <w:color w:val="605E5C"/>
      <w:shd w:fill="E1DFDD" w:val="clear"/>
    </w:rPr>
  </w:style>
  <w:style w:type="character" w:styleId="Screenreaderonly" w:customStyle="1">
    <w:name w:val="screenreader-only"/>
    <w:basedOn w:val="DefaultParagraphFont"/>
    <w:qFormat/>
    <w:rsid w:val="00503e82"/>
    <w:rPr/>
  </w:style>
  <w:style w:type="character" w:styleId="Emphasis">
    <w:name w:val="Emphasis"/>
    <w:basedOn w:val="DefaultParagraphFont"/>
    <w:uiPriority w:val="20"/>
    <w:qFormat/>
    <w:rsid w:val="00503e82"/>
    <w:rPr>
      <w:i/>
      <w:iC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itleChar"/>
    <w:uiPriority w:val="10"/>
    <w:qFormat/>
    <w:rsid w:val="00bc62f9"/>
    <w:pPr>
      <w:spacing w:before="0" w:after="0"/>
      <w:contextualSpacing/>
    </w:pPr>
    <w:rPr>
      <w:rFonts w:ascii="Calibri Light" w:hAnsi="Calibri Light" w:eastAsia="" w:cs="" w:asciiTheme="majorHAnsi" w:cstheme="majorBidi" w:eastAsiaTheme="majorEastAsia" w:hAnsiTheme="majorHAnsi"/>
      <w:color w:val="500000"/>
      <w:spacing w:val="-10"/>
      <w:kern w:val="2"/>
      <w:sz w:val="40"/>
      <w:szCs w:val="56"/>
    </w:rPr>
  </w:style>
  <w:style w:type="paragraph" w:styleId="Caption1">
    <w:name w:val="caption"/>
    <w:basedOn w:val="Normal"/>
    <w:next w:val="Normal"/>
    <w:uiPriority w:val="35"/>
    <w:unhideWhenUsed/>
    <w:qFormat/>
    <w:rsid w:val="008d7ba8"/>
    <w:pPr/>
    <w:rPr>
      <w:i/>
      <w:iCs/>
      <w:color w:val="44546A" w:themeColor="text2"/>
      <w:sz w:val="18"/>
      <w:szCs w:val="18"/>
    </w:rPr>
  </w:style>
  <w:style w:type="paragraph" w:styleId="ListParagraph">
    <w:name w:val="List Paragraph"/>
    <w:basedOn w:val="Normal"/>
    <w:uiPriority w:val="34"/>
    <w:qFormat/>
    <w:rsid w:val="00281d66"/>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927f1"/>
    <w:pPr>
      <w:tabs>
        <w:tab w:val="clear" w:pos="720"/>
        <w:tab w:val="center" w:pos="4680" w:leader="none"/>
        <w:tab w:val="right" w:pos="9360" w:leader="none"/>
      </w:tabs>
    </w:pPr>
    <w:rPr/>
  </w:style>
  <w:style w:type="paragraph" w:styleId="Footer">
    <w:name w:val="Footer"/>
    <w:basedOn w:val="Normal"/>
    <w:link w:val="FooterChar"/>
    <w:uiPriority w:val="99"/>
    <w:unhideWhenUsed/>
    <w:rsid w:val="008927f1"/>
    <w:pPr>
      <w:tabs>
        <w:tab w:val="clear" w:pos="720"/>
        <w:tab w:val="center" w:pos="4680" w:leader="none"/>
        <w:tab w:val="right" w:pos="9360" w:leader="none"/>
      </w:tabs>
    </w:pPr>
    <w:rPr/>
  </w:style>
  <w:style w:type="paragraph" w:styleId="Annotationtext">
    <w:name w:val="annotation text"/>
    <w:basedOn w:val="Normal"/>
    <w:link w:val="CommentTextChar"/>
    <w:uiPriority w:val="99"/>
    <w:semiHidden/>
    <w:unhideWhenUsed/>
    <w:qFormat/>
    <w:rsid w:val="00400847"/>
    <w:pPr/>
    <w:rPr>
      <w:sz w:val="20"/>
      <w:szCs w:val="20"/>
    </w:rPr>
  </w:style>
  <w:style w:type="paragraph" w:styleId="Annotationsubject">
    <w:name w:val="annotation subject"/>
    <w:basedOn w:val="Annotationtext"/>
    <w:next w:val="Annotationtext"/>
    <w:link w:val="CommentSubjectChar"/>
    <w:uiPriority w:val="99"/>
    <w:semiHidden/>
    <w:unhideWhenUsed/>
    <w:qFormat/>
    <w:rsid w:val="00400847"/>
    <w:pPr/>
    <w:rPr>
      <w:b/>
      <w:bCs/>
    </w:rPr>
  </w:style>
  <w:style w:type="paragraph" w:styleId="BalloonText">
    <w:name w:val="Balloon Text"/>
    <w:basedOn w:val="Normal"/>
    <w:link w:val="BalloonTextChar"/>
    <w:uiPriority w:val="99"/>
    <w:semiHidden/>
    <w:unhideWhenUsed/>
    <w:qFormat/>
    <w:rsid w:val="00400847"/>
    <w:pPr/>
    <w:rPr>
      <w:rFonts w:ascii="Segoe UI" w:hAnsi="Segoe UI" w:cs="Segoe UI"/>
      <w:sz w:val="18"/>
      <w:szCs w:val="18"/>
    </w:rPr>
  </w:style>
  <w:style w:type="paragraph" w:styleId="ListBullet">
    <w:name w:val="List Bullet"/>
    <w:basedOn w:val="Normal"/>
    <w:uiPriority w:val="1"/>
    <w:semiHidden/>
    <w:unhideWhenUsed/>
    <w:qFormat/>
    <w:rsid w:val="00fc447f"/>
    <w:pPr>
      <w:numPr>
        <w:ilvl w:val="0"/>
        <w:numId w:val="4"/>
      </w:numPr>
      <w:spacing w:before="0" w:after="120"/>
    </w:pPr>
    <w:rPr>
      <w:rFonts w:ascii="Calibri" w:hAnsi="Calibri"/>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udent-rules.tamu.edu/rule07/" TargetMode="External"/><Relationship Id="rId3" Type="http://schemas.openxmlformats.org/officeDocument/2006/relationships/hyperlink" Target="https://student-rules.tamu.edu/rule07/" TargetMode="External"/><Relationship Id="rId4" Type="http://schemas.openxmlformats.org/officeDocument/2006/relationships/hyperlink" Target="https://student-rules.tamu.edu/rule07" TargetMode="External"/><Relationship Id="rId5" Type="http://schemas.openxmlformats.org/officeDocument/2006/relationships/hyperlink" Target="https://student-rules.tamu.edu/rule07" TargetMode="External"/><Relationship Id="rId6" Type="http://schemas.openxmlformats.org/officeDocument/2006/relationships/hyperlink" Target="https://student-rules.tamu.edu/rule24/" TargetMode="External"/><Relationship Id="rId7" Type="http://schemas.openxmlformats.org/officeDocument/2006/relationships/hyperlink" Target="https://aggiehonor.tamu.edu/Rules-and-Procedures/Rules/Honor-System-Rules" TargetMode="External"/><Relationship Id="rId8" Type="http://schemas.openxmlformats.org/officeDocument/2006/relationships/hyperlink" Target="https://aggiehonor.tamu.edu/" TargetMode="External"/><Relationship Id="rId9" Type="http://schemas.openxmlformats.org/officeDocument/2006/relationships/hyperlink" Target="https://www.tamug.edu/HonorSystem/" TargetMode="External"/><Relationship Id="rId10" Type="http://schemas.openxmlformats.org/officeDocument/2006/relationships/hyperlink" Target="https://www.qatar.tamu.edu/students/academic-services/aggie-honor-system" TargetMode="External"/><Relationship Id="rId11" Type="http://schemas.openxmlformats.org/officeDocument/2006/relationships/hyperlink" Target="https://disability.tamu.edu/" TargetMode="External"/><Relationship Id="rId12" Type="http://schemas.openxmlformats.org/officeDocument/2006/relationships/hyperlink" Target="https://www.tamug.edu/counsel/Disabilities.html" TargetMode="External"/><Relationship Id="rId13" Type="http://schemas.openxmlformats.org/officeDocument/2006/relationships/hyperlink" Target="https://www.qatar.tamu.edu/students/student-affairs/disability-services" TargetMode="External"/><Relationship Id="rId14" Type="http://schemas.openxmlformats.org/officeDocument/2006/relationships/hyperlink" Target="https://rules-saps.tamu.edu/PDFs/08.01.01.M1.pdf" TargetMode="External"/><Relationship Id="rId15" Type="http://schemas.openxmlformats.org/officeDocument/2006/relationships/hyperlink" Target="https://caps.tamu.edu/" TargetMode="External"/><Relationship Id="rId16" Type="http://schemas.openxmlformats.org/officeDocument/2006/relationships/hyperlink" Target="https://titleix.tamu.edu/" TargetMode="External"/><Relationship Id="rId17" Type="http://schemas.openxmlformats.org/officeDocument/2006/relationships/hyperlink" Target="http://www.tamug.edu/counsel" TargetMode="External"/><Relationship Id="rId18" Type="http://schemas.openxmlformats.org/officeDocument/2006/relationships/hyperlink" Target="https://www.tamug.edu/hrd/Title IX.html" TargetMode="External"/><Relationship Id="rId19" Type="http://schemas.openxmlformats.org/officeDocument/2006/relationships/hyperlink" Target="https://www.qatar.tamu.edu/students/student-affairs/health-and-wellness/" TargetMode="External"/><Relationship Id="rId20" Type="http://schemas.openxmlformats.org/officeDocument/2006/relationships/hyperlink" Target="https://titleix.tamu.edu/" TargetMode="External"/><Relationship Id="rId21" Type="http://schemas.openxmlformats.org/officeDocument/2006/relationships/hyperlink" Target="https://nam02.safelinks.protection.outlook.com/?url=https%3A%2F%2F988lifeline.org%2F&amp;data=05|01|dalerice@tamu.edu|40cee129de4b46bcc35508daf8b6b784|68f381e346da47b9ba576f322b8f0da1|1|0|638095760883706144|Unknown|TWFpbGZsb3d8eyJWIjoiMC4wLjAwMDAiLCJQIjoiV2luMzIiLCJBTiI6Ik1haWwiLCJXVCI6Mn0%3D|3000|||&amp;sdata=NB3caCtMFD%2BkD5UxAqgcR4mgSVqQiq%2BFQuafrpaBHys%3D&amp;reserved=0" TargetMode="External"/><Relationship Id="rId22" Type="http://schemas.openxmlformats.org/officeDocument/2006/relationships/hyperlink" Target="https://www.tamug.edu/counsel/Disabilities.html" TargetMode="External"/><Relationship Id="rId23" Type="http://schemas.openxmlformats.org/officeDocument/2006/relationships/hyperlink" Target="https://nam02.safelinks.protection.outlook.com/?url=https%3A%2F%2F988lifeline.org%2F&amp;data=05|01|dalerice@tamu.edu|40cee129de4b46bcc35508daf8b6b784|68f381e346da47b9ba576f322b8f0da1|1|0|638095760883706144|Unknown|TWFpbGZsb3d8eyJWIjoiMC4wLjAwMDAiLCJQIjoiV2luMzIiLCJBTiI6Ik1haWwiLCJXVCI6Mn0%3D|3000|||&amp;sdata=NB3caCtMFD%2BkD5UxAqgcR4mgSVqQiq%2BFQuafrpaBHys%3D&amp;reserved=0" TargetMode="External"/><Relationship Id="rId24" Type="http://schemas.openxmlformats.org/officeDocument/2006/relationships/hyperlink" Target="https://www.qatar.tamu.edu/students/student-affairs/health-and-wellness/" TargetMode="External"/><Relationship Id="rId25" Type="http://schemas.openxmlformats.org/officeDocument/2006/relationships/hyperlink" Target="https://rules-saps.tamu.edu/PDFs/12.01.99.M2.pdf" TargetMode="External"/><Relationship Id="rId26" Type="http://schemas.openxmlformats.org/officeDocument/2006/relationships/hyperlink" Target="https://www.tamug.edu/studentrules/Students_Rights_Responsibilities.html" TargetMode="External"/><Relationship Id="rId27" Type="http://schemas.openxmlformats.org/officeDocument/2006/relationships/hyperlink" Target="https://howdy.tamu.edu/"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21E67293B41C4965FF5AC704B0DB7"/>
        <w:category>
          <w:name w:val="General"/>
          <w:gallery w:val="placeholder"/>
        </w:category>
        <w:types>
          <w:type w:val="bbPlcHdr"/>
        </w:types>
        <w:behaviors>
          <w:behavior w:val="content"/>
        </w:behaviors>
        <w:guid w:val="{97A784C5-B6B6-46ED-A761-132D613D233B}"/>
      </w:docPartPr>
      <w:docPartBody>
        <w:p w:rsidR="009F5952" w:rsidRDefault="00357B2F" w:rsidP="00357B2F">
          <w:pPr>
            <w:pStyle w:val="05821E67293B41C4965FF5AC704B0DB7"/>
          </w:pPr>
          <w:r>
            <w:rPr>
              <w:rFonts w:cs="Calibri"/>
              <w:i/>
            </w:rPr>
            <w:t>XXXX ###</w:t>
          </w:r>
        </w:p>
      </w:docPartBody>
    </w:docPart>
    <w:docPart>
      <w:docPartPr>
        <w:name w:val="CFDFF4999B97461CA280B74C4D71BA78"/>
        <w:category>
          <w:name w:val="General"/>
          <w:gallery w:val="placeholder"/>
        </w:category>
        <w:types>
          <w:type w:val="bbPlcHdr"/>
        </w:types>
        <w:behaviors>
          <w:behavior w:val="content"/>
        </w:behaviors>
        <w:guid w:val="{CBEBA1CD-4301-4366-A5CC-6CD3786A3EFA}"/>
      </w:docPartPr>
      <w:docPartBody>
        <w:p w:rsidR="009F5952" w:rsidRDefault="00357B2F" w:rsidP="00357B2F">
          <w:pPr>
            <w:pStyle w:val="CFDFF4999B97461CA280B74C4D71BA78"/>
          </w:pPr>
          <w:r>
            <w:rPr>
              <w:rFonts w:cs="Calibri"/>
              <w:i/>
            </w:rPr>
            <w:t>Course Title</w:t>
          </w:r>
        </w:p>
      </w:docPartBody>
    </w:docPart>
    <w:docPart>
      <w:docPartPr>
        <w:name w:val="BBA32B28EAB446EFA329AD2E7D62440E"/>
        <w:category>
          <w:name w:val="General"/>
          <w:gallery w:val="placeholder"/>
        </w:category>
        <w:types>
          <w:type w:val="bbPlcHdr"/>
        </w:types>
        <w:behaviors>
          <w:behavior w:val="content"/>
        </w:behaviors>
        <w:guid w:val="{385C60DF-08F7-4317-934C-7CF16D314627}"/>
      </w:docPartPr>
      <w:docPartBody>
        <w:p w:rsidR="009F5952" w:rsidRDefault="00357B2F" w:rsidP="00357B2F">
          <w:pPr>
            <w:pStyle w:val="BBA32B28EAB446EFA329AD2E7D62440E"/>
          </w:pPr>
          <w:r>
            <w:rPr>
              <w:rFonts w:cs="Calibri"/>
              <w:i/>
            </w:rPr>
            <w:t>Section</w:t>
          </w:r>
        </w:p>
      </w:docPartBody>
    </w:docPart>
    <w:docPart>
      <w:docPartPr>
        <w:name w:val="C93B3DD6D8E54800AF70B177DAE7EED2"/>
        <w:category>
          <w:name w:val="General"/>
          <w:gallery w:val="placeholder"/>
        </w:category>
        <w:types>
          <w:type w:val="bbPlcHdr"/>
        </w:types>
        <w:behaviors>
          <w:behavior w:val="content"/>
        </w:behaviors>
        <w:guid w:val="{F4BD2076-EA7E-48CB-882B-27F57F0D1F24}"/>
      </w:docPartPr>
      <w:docPartBody>
        <w:p w:rsidR="009F5952" w:rsidRDefault="00357B2F" w:rsidP="00357B2F">
          <w:pPr>
            <w:pStyle w:val="C93B3DD6D8E54800AF70B177DAE7EED2"/>
          </w:pPr>
          <w:r>
            <w:rPr>
              <w:rFonts w:cs="Calibri"/>
              <w:i/>
            </w:rPr>
            <w:t>Meeting Times</w:t>
          </w:r>
        </w:p>
      </w:docPartBody>
    </w:docPart>
    <w:docPart>
      <w:docPartPr>
        <w:name w:val="AC8EF14564AC476E9FA894E7B4248CED"/>
        <w:category>
          <w:name w:val="General"/>
          <w:gallery w:val="placeholder"/>
        </w:category>
        <w:types>
          <w:type w:val="bbPlcHdr"/>
        </w:types>
        <w:behaviors>
          <w:behavior w:val="content"/>
        </w:behaviors>
        <w:guid w:val="{E118FE81-C1A8-4E44-BD8F-81041078B19A}"/>
      </w:docPartPr>
      <w:docPartBody>
        <w:p w:rsidR="009F5952" w:rsidRDefault="00357B2F" w:rsidP="00357B2F">
          <w:pPr>
            <w:pStyle w:val="AC8EF14564AC476E9FA894E7B4248CED"/>
          </w:pPr>
          <w:r>
            <w:rPr>
              <w:rFonts w:cs="Calibri"/>
              <w:i/>
            </w:rPr>
            <w:t>Location</w:t>
          </w:r>
        </w:p>
      </w:docPartBody>
    </w:docPart>
    <w:docPart>
      <w:docPartPr>
        <w:name w:val="A0DC73C36A64483682E23482FB5E05A6"/>
        <w:category>
          <w:name w:val="General"/>
          <w:gallery w:val="placeholder"/>
        </w:category>
        <w:types>
          <w:type w:val="bbPlcHdr"/>
        </w:types>
        <w:behaviors>
          <w:behavior w:val="content"/>
        </w:behaviors>
        <w:guid w:val="{FFF4FAA9-0838-4DB4-A3AD-785043D35B2E}"/>
      </w:docPartPr>
      <w:docPartBody>
        <w:p w:rsidR="009F5952" w:rsidRDefault="00357B2F" w:rsidP="00357B2F">
          <w:pPr>
            <w:pStyle w:val="A0DC73C36A64483682E23482FB5E05A6"/>
          </w:pPr>
          <w:r>
            <w:rPr>
              <w:rFonts w:cs="Calibri"/>
              <w:i/>
            </w:rPr>
            <w:t>Credit Hours</w:t>
          </w:r>
        </w:p>
      </w:docPartBody>
    </w:docPart>
    <w:docPart>
      <w:docPartPr>
        <w:name w:val="DAB502E88D0D432FAFA969D4DDECE3BC"/>
        <w:category>
          <w:name w:val="General"/>
          <w:gallery w:val="placeholder"/>
        </w:category>
        <w:types>
          <w:type w:val="bbPlcHdr"/>
        </w:types>
        <w:behaviors>
          <w:behavior w:val="content"/>
        </w:behaviors>
        <w:guid w:val="{7E54DCC1-F99B-4D91-B36F-4720AF39591C}"/>
      </w:docPartPr>
      <w:docPartBody>
        <w:p w:rsidR="009F5952" w:rsidRDefault="00357B2F" w:rsidP="00357B2F">
          <w:pPr>
            <w:pStyle w:val="DAB502E88D0D432FAFA969D4DDECE3BC"/>
          </w:pPr>
          <w:r>
            <w:rPr>
              <w:rFonts w:cs="Calibri"/>
              <w:i/>
            </w:rPr>
            <w:t>Location</w:t>
          </w:r>
        </w:p>
      </w:docPartBody>
    </w:docPart>
    <w:docPart>
      <w:docPartPr>
        <w:name w:val="A664848CA6254441B1752E48987F4DFA"/>
        <w:category>
          <w:name w:val="General"/>
          <w:gallery w:val="placeholder"/>
        </w:category>
        <w:types>
          <w:type w:val="bbPlcHdr"/>
        </w:types>
        <w:behaviors>
          <w:behavior w:val="content"/>
        </w:behaviors>
        <w:guid w:val="{13C1F4DF-D11E-4476-A787-4F0DFD0A4CBD}"/>
      </w:docPartPr>
      <w:docPartBody>
        <w:p w:rsidR="009F5952" w:rsidRDefault="00357B2F" w:rsidP="00357B2F">
          <w:pPr>
            <w:pStyle w:val="A664848CA6254441B1752E48987F4DFA"/>
          </w:pPr>
          <w:r>
            <w:rPr>
              <w:rFonts w:cs="Calibri"/>
              <w:i/>
            </w:rPr>
            <w:t>Phone</w:t>
          </w:r>
        </w:p>
      </w:docPartBody>
    </w:docPart>
    <w:docPart>
      <w:docPartPr>
        <w:name w:val="D2B64DD8F200441791AB75E59F2351E7"/>
        <w:category>
          <w:name w:val="General"/>
          <w:gallery w:val="placeholder"/>
        </w:category>
        <w:types>
          <w:type w:val="bbPlcHdr"/>
        </w:types>
        <w:behaviors>
          <w:behavior w:val="content"/>
        </w:behaviors>
        <w:guid w:val="{065CF04A-81CD-4748-9C00-B4F632500A6B}"/>
      </w:docPartPr>
      <w:docPartBody>
        <w:p w:rsidR="009F5952" w:rsidRDefault="00357B2F" w:rsidP="00357B2F">
          <w:pPr>
            <w:pStyle w:val="D2B64DD8F200441791AB75E59F2351E7"/>
          </w:pPr>
          <w:r>
            <w:rPr>
              <w:rFonts w:cs="Calibri"/>
              <w:i/>
            </w:rPr>
            <w:t>Email address</w:t>
          </w:r>
        </w:p>
      </w:docPartBody>
    </w:docPart>
    <w:docPart>
      <w:docPartPr>
        <w:name w:val="3C35B0022CEF48B0BB8DEC24C47CFFC0"/>
        <w:category>
          <w:name w:val="General"/>
          <w:gallery w:val="placeholder"/>
        </w:category>
        <w:types>
          <w:type w:val="bbPlcHdr"/>
        </w:types>
        <w:behaviors>
          <w:behavior w:val="content"/>
        </w:behaviors>
        <w:guid w:val="{63512793-B0B5-4FD9-875A-D4B2FFEA1DF2}"/>
      </w:docPartPr>
      <w:docPartBody>
        <w:p w:rsidR="009F5952" w:rsidRDefault="00357B2F" w:rsidP="00357B2F">
          <w:pPr>
            <w:pStyle w:val="3C35B0022CEF48B0BB8DEC24C47CFFC0"/>
          </w:pPr>
          <w:r>
            <w:rPr>
              <w:rFonts w:cs="Calibri"/>
              <w:i/>
            </w:rPr>
            <w:t>Hours</w:t>
          </w:r>
        </w:p>
      </w:docPartBody>
    </w:docPart>
    <w:docPart>
      <w:docPartPr>
        <w:name w:val="7A76C13B50354BFBAB7C741DFB3C5AA6"/>
        <w:category>
          <w:name w:val="General"/>
          <w:gallery w:val="placeholder"/>
        </w:category>
        <w:types>
          <w:type w:val="bbPlcHdr"/>
        </w:types>
        <w:behaviors>
          <w:behavior w:val="content"/>
        </w:behaviors>
        <w:guid w:val="{BCAABD7D-5AA9-4934-842C-A2CAE45C1AF7}"/>
      </w:docPartPr>
      <w:docPartBody>
        <w:p w:rsidR="009F5952" w:rsidRDefault="00357B2F" w:rsidP="00357B2F">
          <w:pPr>
            <w:pStyle w:val="7A76C13B50354BFBAB7C741DFB3C5AA6"/>
          </w:pPr>
          <w:r>
            <w:rPr>
              <w:rFonts w:cs="Calibri"/>
              <w:i/>
            </w:rPr>
            <w:t>Days</w:t>
          </w:r>
        </w:p>
      </w:docPartBody>
    </w:docPart>
    <w:docPart>
      <w:docPartPr>
        <w:name w:val="746EECD9D83E43028535BA4AD54D3319"/>
        <w:category>
          <w:name w:val="General"/>
          <w:gallery w:val="placeholder"/>
        </w:category>
        <w:types>
          <w:type w:val="bbPlcHdr"/>
        </w:types>
        <w:behaviors>
          <w:behavior w:val="content"/>
        </w:behaviors>
        <w:guid w:val="{E9E82EEA-4B3F-4A07-AE3D-01C9DA22C1CA}"/>
      </w:docPartPr>
      <w:docPartBody>
        <w:p w:rsidR="009F5952" w:rsidRDefault="00357B2F" w:rsidP="00357B2F">
          <w:pPr>
            <w:pStyle w:val="746EECD9D83E43028535BA4AD54D3319"/>
          </w:pPr>
          <w:r>
            <w:rPr>
              <w:rFonts w:cs="Calibri"/>
            </w:rPr>
            <w:t>Click to add text or delete bullet.</w:t>
          </w:r>
        </w:p>
      </w:docPartBody>
    </w:docPart>
    <w:docPart>
      <w:docPartPr>
        <w:name w:val="090221A7DA0744169C02218A70781624"/>
        <w:category>
          <w:name w:val="General"/>
          <w:gallery w:val="placeholder"/>
        </w:category>
        <w:types>
          <w:type w:val="bbPlcHdr"/>
        </w:types>
        <w:behaviors>
          <w:behavior w:val="content"/>
        </w:behaviors>
        <w:guid w:val="{C7CFDAA0-B966-49F2-9F9F-6D292DD3B4DB}"/>
      </w:docPartPr>
      <w:docPartBody>
        <w:p w:rsidR="009F5952" w:rsidRDefault="00357B2F" w:rsidP="00357B2F">
          <w:pPr>
            <w:pStyle w:val="090221A7DA0744169C02218A70781624"/>
          </w:pPr>
          <w:r>
            <w:rPr>
              <w:rFonts w:cs="Calibri"/>
            </w:rPr>
            <w:t>Click to add text or delete bullet.</w:t>
          </w:r>
        </w:p>
      </w:docPartBody>
    </w:docPart>
    <w:docPart>
      <w:docPartPr>
        <w:name w:val="841DBD5946C2413F870FD2C54C201D2A"/>
        <w:category>
          <w:name w:val="General"/>
          <w:gallery w:val="placeholder"/>
        </w:category>
        <w:types>
          <w:type w:val="bbPlcHdr"/>
        </w:types>
        <w:behaviors>
          <w:behavior w:val="content"/>
        </w:behaviors>
        <w:guid w:val="{6B9E4F06-246D-400F-9769-C96079CE1697}"/>
      </w:docPartPr>
      <w:docPartBody>
        <w:p w:rsidR="009F5952" w:rsidRDefault="00357B2F" w:rsidP="00357B2F">
          <w:pPr>
            <w:pStyle w:val="841DBD5946C2413F870FD2C54C201D2A"/>
          </w:pPr>
          <w:r>
            <w:rPr>
              <w:rFonts w:cs="Calibri"/>
            </w:rPr>
            <w:t>Click to add text or delete bullet.</w:t>
          </w:r>
        </w:p>
      </w:docPartBody>
    </w:docPart>
    <w:docPart>
      <w:docPartPr>
        <w:name w:val="A42AFA4757F541088F0878B1C5C64CCB"/>
        <w:category>
          <w:name w:val="General"/>
          <w:gallery w:val="placeholder"/>
        </w:category>
        <w:types>
          <w:type w:val="bbPlcHdr"/>
        </w:types>
        <w:behaviors>
          <w:behavior w:val="content"/>
        </w:behaviors>
        <w:guid w:val="{7C355A76-F03E-4346-BF85-FBDB8B55C033}"/>
      </w:docPartPr>
      <w:docPartBody>
        <w:p w:rsidR="009F5952" w:rsidRDefault="00357B2F" w:rsidP="00357B2F">
          <w:pPr>
            <w:pStyle w:val="A42AFA4757F541088F0878B1C5C64CCB"/>
          </w:pPr>
          <w:r>
            <w:t xml:space="preserve">Classroom Access and </w:t>
          </w:r>
          <w:r>
            <w:rPr>
              <w:rStyle w:val="heading2char"/>
              <w:color w:val="003C71"/>
              <w:sz w:val="26"/>
            </w:rPr>
            <w:t>Inclusion Statement</w:t>
          </w:r>
        </w:p>
      </w:docPartBody>
    </w:docPart>
    <w:docPart>
      <w:docPartPr>
        <w:name w:val="4D68091E56A4403FA2B4FC4700C3D1F4"/>
        <w:category>
          <w:name w:val="General"/>
          <w:gallery w:val="placeholder"/>
        </w:category>
        <w:types>
          <w:type w:val="bbPlcHdr"/>
        </w:types>
        <w:behaviors>
          <w:behavior w:val="content"/>
        </w:behaviors>
        <w:guid w:val="{9E55EF20-6818-4D78-A31B-B6A67AEF0E4B}"/>
      </w:docPartPr>
      <w:docPartBody>
        <w:p w:rsidR="009F5952" w:rsidRDefault="00357B2F" w:rsidP="00357B2F">
          <w:pPr>
            <w:pStyle w:val="4D68091E56A4403FA2B4FC4700C3D1F4"/>
          </w:pPr>
          <w:r>
            <w:rPr>
              <w:rFonts w:cs="Calibri"/>
              <w:i/>
            </w:rPr>
            <w:t>The following statements below are optional. Leave as is to include, or delete if preferred. Either way, delete this note.</w:t>
          </w:r>
        </w:p>
      </w:docPartBody>
    </w:docPart>
    <w:docPart>
      <w:docPartPr>
        <w:name w:val="3CAB08CAA98144D6826AC8340BE177FC"/>
        <w:category>
          <w:name w:val="General"/>
          <w:gallery w:val="placeholder"/>
        </w:category>
        <w:types>
          <w:type w:val="bbPlcHdr"/>
        </w:types>
        <w:behaviors>
          <w:behavior w:val="content"/>
        </w:behaviors>
        <w:guid w:val="{606D0037-9AE6-4F77-B9DF-7118DE6D98D1}"/>
      </w:docPartPr>
      <w:docPartBody>
        <w:p w:rsidR="009F5952" w:rsidRDefault="00357B2F" w:rsidP="00357B2F">
          <w:pPr>
            <w:pStyle w:val="3CAB08CAA98144D6826AC8340BE177FC"/>
          </w:pPr>
          <w:r>
            <w:t>Statement on the Family Educational Rights and Privacy Act (FERPA)</w:t>
          </w:r>
        </w:p>
      </w:docPartBody>
    </w:docPart>
    <w:docPart>
      <w:docPartPr>
        <w:name w:val="723AA479CF894B0D84E32C3BF471CFEB"/>
        <w:category>
          <w:name w:val="General"/>
          <w:gallery w:val="placeholder"/>
        </w:category>
        <w:types>
          <w:type w:val="bbPlcHdr"/>
        </w:types>
        <w:behaviors>
          <w:behavior w:val="content"/>
        </w:behaviors>
        <w:guid w:val="{B706A033-B7C8-405B-A08D-697B250E123D}"/>
      </w:docPartPr>
      <w:docPartBody>
        <w:p w:rsidR="00357B2F" w:rsidRDefault="00357B2F">
          <w:pPr>
            <w:spacing w:before="100" w:beforeAutospacing="1" w:after="100" w:afterAutospacing="1"/>
            <w:ind w:right="155"/>
            <w:rPr>
              <w:szCs w:val="20"/>
            </w:rPr>
          </w:pPr>
          <w:r>
            <w:rPr>
              <w:szCs w:val="20"/>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Pr>
              <w:color w:val="333333"/>
              <w:szCs w:val="20"/>
            </w:rPr>
            <w:t xml:space="preserve">Currently enrolled students wishing to withhold any or all directory information items may do so by going to </w:t>
          </w:r>
          <w:hyperlink r:id="rId4" w:history="1">
            <w:r>
              <w:rPr>
                <w:rStyle w:val="Hyperlink"/>
                <w:color w:val="0563C1"/>
              </w:rPr>
              <w:t>howdy.tamu.edu</w:t>
            </w:r>
            <w:r>
              <w:rPr>
                <w:rStyle w:val="Hyperlink"/>
                <w:color w:val="333333"/>
                <w:szCs w:val="20"/>
              </w:rPr>
              <w:t xml:space="preserve"> </w:t>
            </w:r>
          </w:hyperlink>
          <w:r>
            <w:rPr>
              <w:color w:val="333333"/>
              <w:szCs w:val="20"/>
            </w:rPr>
            <w:t xml:space="preserve">and clicking on the "Directory Hold Information" link in the Student Records channel on the MyRecord tab. The complete </w:t>
          </w:r>
          <w:hyperlink r:id="rId5" w:anchor="0-StatementofRights" w:history="1">
            <w:r>
              <w:rPr>
                <w:rStyle w:val="Hyperlink"/>
                <w:color w:val="0563C1"/>
              </w:rPr>
              <w:t>FERPA Notice to Students</w:t>
            </w:r>
          </w:hyperlink>
          <w:r>
            <w:rPr>
              <w:color w:val="333333"/>
              <w:szCs w:val="20"/>
            </w:rPr>
            <w:t xml:space="preserve"> and the student records policy is available on the Office of the Registrar webpage.</w:t>
          </w:r>
          <w:r>
            <w:rPr>
              <w:szCs w:val="20"/>
            </w:rPr>
            <w:t xml:space="preserve"> </w:t>
          </w:r>
        </w:p>
        <w:p w:rsidR="009F5952" w:rsidRDefault="00357B2F" w:rsidP="00357B2F">
          <w:pPr>
            <w:pStyle w:val="723AA479CF894B0D84E32C3BF471CFEB"/>
          </w:pPr>
          <w:r>
            <w:rPr>
              <w:szCs w:val="20"/>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docPartBody>
    </w:docPart>
    <w:docPart>
      <w:docPartPr>
        <w:name w:val="BDEF3E7540064028A57E04AF375655C6"/>
        <w:category>
          <w:name w:val="General"/>
          <w:gallery w:val="placeholder"/>
        </w:category>
        <w:types>
          <w:type w:val="bbPlcHdr"/>
        </w:types>
        <w:behaviors>
          <w:behavior w:val="content"/>
        </w:behaviors>
        <w:guid w:val="{878B83FD-0376-414C-9965-6C6BDFA247BC}"/>
      </w:docPartPr>
      <w:docPartBody>
        <w:p w:rsidR="009F5952" w:rsidRDefault="00357B2F" w:rsidP="00357B2F">
          <w:pPr>
            <w:pStyle w:val="BDEF3E7540064028A57E04AF375655C6"/>
          </w:pPr>
          <w: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docPartBody>
    </w:docPart>
    <w:docPart>
      <w:docPartPr>
        <w:name w:val="61B3C4A3CB7E402BA9AC447CD0E62D67"/>
        <w:category>
          <w:name w:val="General"/>
          <w:gallery w:val="placeholder"/>
        </w:category>
        <w:types>
          <w:type w:val="bbPlcHdr"/>
        </w:types>
        <w:behaviors>
          <w:behavior w:val="content"/>
        </w:behaviors>
        <w:guid w:val="{29B8BB20-E9F5-459F-9392-CD617CD3AF98}"/>
      </w:docPartPr>
      <w:docPartBody>
        <w:p w:rsidR="00B56196" w:rsidRDefault="009F5952" w:rsidP="009F5952">
          <w:pPr>
            <w:pStyle w:val="61B3C4A3CB7E402BA9AC447CD0E62D67"/>
          </w:pPr>
          <w:r w:rsidRPr="00B23ED8">
            <w:rPr>
              <w:rFonts w:cs="Calibri"/>
              <w:i/>
            </w:rPr>
            <w:t>Instructor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F"/>
    <w:rsid w:val="002B5F10"/>
    <w:rsid w:val="00357B2F"/>
    <w:rsid w:val="009F5952"/>
    <w:rsid w:val="00B5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1E67293B41C4965FF5AC704B0DB7">
    <w:name w:val="05821E67293B41C4965FF5AC704B0DB7"/>
    <w:rsid w:val="00357B2F"/>
  </w:style>
  <w:style w:type="paragraph" w:customStyle="1" w:styleId="CFDFF4999B97461CA280B74C4D71BA78">
    <w:name w:val="CFDFF4999B97461CA280B74C4D71BA78"/>
    <w:rsid w:val="00357B2F"/>
  </w:style>
  <w:style w:type="paragraph" w:customStyle="1" w:styleId="BBA32B28EAB446EFA329AD2E7D62440E">
    <w:name w:val="BBA32B28EAB446EFA329AD2E7D62440E"/>
    <w:rsid w:val="00357B2F"/>
  </w:style>
  <w:style w:type="paragraph" w:customStyle="1" w:styleId="C93B3DD6D8E54800AF70B177DAE7EED2">
    <w:name w:val="C93B3DD6D8E54800AF70B177DAE7EED2"/>
    <w:rsid w:val="00357B2F"/>
  </w:style>
  <w:style w:type="paragraph" w:customStyle="1" w:styleId="AC8EF14564AC476E9FA894E7B4248CED">
    <w:name w:val="AC8EF14564AC476E9FA894E7B4248CED"/>
    <w:rsid w:val="00357B2F"/>
  </w:style>
  <w:style w:type="paragraph" w:customStyle="1" w:styleId="A0DC73C36A64483682E23482FB5E05A6">
    <w:name w:val="A0DC73C36A64483682E23482FB5E05A6"/>
    <w:rsid w:val="00357B2F"/>
  </w:style>
  <w:style w:type="paragraph" w:customStyle="1" w:styleId="DAB502E88D0D432FAFA969D4DDECE3BC">
    <w:name w:val="DAB502E88D0D432FAFA969D4DDECE3BC"/>
    <w:rsid w:val="00357B2F"/>
  </w:style>
  <w:style w:type="paragraph" w:customStyle="1" w:styleId="A664848CA6254441B1752E48987F4DFA">
    <w:name w:val="A664848CA6254441B1752E48987F4DFA"/>
    <w:rsid w:val="00357B2F"/>
  </w:style>
  <w:style w:type="paragraph" w:customStyle="1" w:styleId="D2B64DD8F200441791AB75E59F2351E7">
    <w:name w:val="D2B64DD8F200441791AB75E59F2351E7"/>
    <w:rsid w:val="00357B2F"/>
  </w:style>
  <w:style w:type="paragraph" w:customStyle="1" w:styleId="3C35B0022CEF48B0BB8DEC24C47CFFC0">
    <w:name w:val="3C35B0022CEF48B0BB8DEC24C47CFFC0"/>
    <w:rsid w:val="00357B2F"/>
  </w:style>
  <w:style w:type="paragraph" w:customStyle="1" w:styleId="7A76C13B50354BFBAB7C741DFB3C5AA6">
    <w:name w:val="7A76C13B50354BFBAB7C741DFB3C5AA6"/>
    <w:rsid w:val="00357B2F"/>
  </w:style>
  <w:style w:type="paragraph" w:customStyle="1" w:styleId="746EECD9D83E43028535BA4AD54D3319">
    <w:name w:val="746EECD9D83E43028535BA4AD54D3319"/>
    <w:rsid w:val="00357B2F"/>
  </w:style>
  <w:style w:type="paragraph" w:customStyle="1" w:styleId="090221A7DA0744169C02218A70781624">
    <w:name w:val="090221A7DA0744169C02218A70781624"/>
    <w:rsid w:val="00357B2F"/>
  </w:style>
  <w:style w:type="paragraph" w:customStyle="1" w:styleId="841DBD5946C2413F870FD2C54C201D2A">
    <w:name w:val="841DBD5946C2413F870FD2C54C201D2A"/>
    <w:rsid w:val="00357B2F"/>
  </w:style>
  <w:style w:type="character" w:styleId="Hyperlink">
    <w:name w:val="Hyperlink"/>
    <w:basedOn w:val="DefaultParagraphFont"/>
    <w:uiPriority w:val="99"/>
    <w:semiHidden/>
    <w:unhideWhenUsed/>
    <w:rsid w:val="00357B2F"/>
    <w:rPr>
      <w:color w:val="434928"/>
      <w:u w:val="single"/>
    </w:rPr>
  </w:style>
  <w:style w:type="character" w:customStyle="1" w:styleId="heading2char">
    <w:name w:val="heading2char"/>
    <w:basedOn w:val="DefaultParagraphFont"/>
    <w:rsid w:val="00357B2F"/>
  </w:style>
  <w:style w:type="paragraph" w:customStyle="1" w:styleId="A42AFA4757F541088F0878B1C5C64CCB">
    <w:name w:val="A42AFA4757F541088F0878B1C5C64CCB"/>
    <w:rsid w:val="00357B2F"/>
  </w:style>
  <w:style w:type="paragraph" w:customStyle="1" w:styleId="4D68091E56A4403FA2B4FC4700C3D1F4">
    <w:name w:val="4D68091E56A4403FA2B4FC4700C3D1F4"/>
    <w:rsid w:val="00357B2F"/>
  </w:style>
  <w:style w:type="paragraph" w:customStyle="1" w:styleId="3CAB08CAA98144D6826AC8340BE177FC">
    <w:name w:val="3CAB08CAA98144D6826AC8340BE177FC"/>
    <w:rsid w:val="00357B2F"/>
  </w:style>
  <w:style w:type="paragraph" w:customStyle="1" w:styleId="723AA479CF894B0D84E32C3BF471CFEB">
    <w:name w:val="723AA479CF894B0D84E32C3BF471CFEB"/>
    <w:rsid w:val="00357B2F"/>
  </w:style>
  <w:style w:type="paragraph" w:customStyle="1" w:styleId="BDEF3E7540064028A57E04AF375655C6">
    <w:name w:val="BDEF3E7540064028A57E04AF375655C6"/>
    <w:rsid w:val="00357B2F"/>
  </w:style>
  <w:style w:type="paragraph" w:customStyle="1" w:styleId="61B3C4A3CB7E402BA9AC447CD0E62D67">
    <w:name w:val="61B3C4A3CB7E402BA9AC447CD0E62D67"/>
    <w:rsid w:val="009F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LibreOffice/7.0.4.2$Linux_X86_64 LibreOffice_project/00$Build-2</Application>
  <AppVersion>15.0000</AppVersion>
  <Pages>6</Pages>
  <Words>1779</Words>
  <Characters>10113</Characters>
  <CharactersWithSpaces>11813</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2023-01-17T22:46:00Z</dcterms:created>
  <dc:creator/>
  <dc:description/>
  <dc:language>en-US</dc:language>
  <cp:lastModifiedBy/>
  <dcterms:modified xsi:type="dcterms:W3CDTF">2023-02-13T17:39:24Z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